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1EB6F1C8"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50723E">
        <w:rPr>
          <w:rFonts w:ascii="Arial" w:eastAsia="Batang" w:hAnsi="Arial" w:cs="Arial"/>
          <w:b/>
          <w:bCs/>
          <w:sz w:val="28"/>
          <w:szCs w:val="24"/>
        </w:rPr>
        <w:t xml:space="preserve">#95  </w:t>
      </w:r>
      <w:r>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5368EA">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D06DBF" w:rsidRPr="00D06DBF">
        <w:rPr>
          <w:rFonts w:ascii="Arial" w:eastAsia="Batang" w:hAnsi="Arial" w:cs="Arial"/>
          <w:b/>
          <w:bCs/>
          <w:sz w:val="28"/>
          <w:szCs w:val="24"/>
        </w:rPr>
        <w:t>R1-1813871</w:t>
      </w:r>
      <w:bookmarkStart w:id="0" w:name="_GoBack"/>
      <w:bookmarkEnd w:id="0"/>
    </w:p>
    <w:p w14:paraId="1055EF62" w14:textId="31D66960" w:rsidR="00927086" w:rsidRPr="002E16F4" w:rsidRDefault="0050723E"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Spokane</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12</w:t>
      </w:r>
      <w:r>
        <w:rPr>
          <w:rFonts w:ascii="Arial" w:eastAsia="MS Mincho" w:hAnsi="Arial" w:cs="Arial"/>
          <w:b/>
          <w:bCs/>
          <w:sz w:val="28"/>
          <w:szCs w:val="24"/>
          <w:vertAlign w:val="superscript"/>
          <w:lang w:eastAsia="ja-JP"/>
        </w:rPr>
        <w:t>th</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sidR="0042611D">
        <w:rPr>
          <w:rFonts w:ascii="Arial" w:eastAsia="MS Mincho" w:hAnsi="Arial" w:cs="Arial"/>
          <w:b/>
          <w:bCs/>
          <w:sz w:val="28"/>
          <w:szCs w:val="24"/>
          <w:lang w:eastAsia="ja-JP"/>
        </w:rPr>
        <w:t>1</w:t>
      </w:r>
      <w:r>
        <w:rPr>
          <w:rFonts w:ascii="Arial" w:eastAsia="MS Mincho" w:hAnsi="Arial" w:cs="Arial"/>
          <w:b/>
          <w:bCs/>
          <w:sz w:val="28"/>
          <w:szCs w:val="24"/>
          <w:lang w:eastAsia="ja-JP"/>
        </w:rPr>
        <w:t>6</w:t>
      </w:r>
      <w:r w:rsidR="00E713DD">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927086">
        <w:rPr>
          <w:rFonts w:ascii="Arial" w:eastAsia="MS Mincho" w:hAnsi="Arial" w:cs="Arial"/>
          <w:b/>
          <w:bCs/>
          <w:sz w:val="28"/>
          <w:szCs w:val="24"/>
          <w:lang w:eastAsia="ja-JP"/>
        </w:rPr>
        <w:t>, 2018</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2723FCA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81E21" w:rsidRPr="00D81E21">
        <w:rPr>
          <w:rFonts w:ascii="Arial" w:eastAsia="Malgun Gothic" w:hAnsi="Arial" w:cs="Arial"/>
          <w:b/>
          <w:sz w:val="24"/>
          <w:lang w:val="en-US" w:eastAsia="ko-KR"/>
        </w:rPr>
        <w:t>Discussion on Type II CSI compression</w:t>
      </w:r>
    </w:p>
    <w:p w14:paraId="3596330A" w14:textId="55C1D7E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61047C">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3DA064A3" w:rsidR="006F0407" w:rsidRPr="00B40AD2" w:rsidRDefault="00462AB7" w:rsidP="00B40AD2">
      <w:pPr>
        <w:spacing w:before="240" w:after="0"/>
        <w:rPr>
          <w:sz w:val="22"/>
          <w:lang w:eastAsia="ko-KR"/>
        </w:rPr>
      </w:pPr>
      <w:r>
        <w:rPr>
          <w:sz w:val="22"/>
          <w:lang w:eastAsia="ko-KR"/>
        </w:rPr>
        <w:t xml:space="preserve">At the 3GPPRAN#81 meeting </w:t>
      </w:r>
      <w:r w:rsidR="006F0407" w:rsidRPr="006F0407">
        <w:rPr>
          <w:sz w:val="22"/>
          <w:lang w:eastAsia="ko-KR"/>
        </w:rPr>
        <w:t>work item to specify enhancements for NR MIMO</w:t>
      </w:r>
      <w:r w:rsidR="00C119CA">
        <w:rPr>
          <w:sz w:val="22"/>
          <w:lang w:eastAsia="ko-KR"/>
        </w:rPr>
        <w:t xml:space="preserve"> [1]</w:t>
      </w:r>
      <w:r>
        <w:rPr>
          <w:sz w:val="22"/>
          <w:lang w:eastAsia="ko-KR"/>
        </w:rPr>
        <w:t xml:space="preserve"> 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enhancements </w:t>
      </w:r>
      <w:r w:rsidR="00970279">
        <w:rPr>
          <w:sz w:val="22"/>
          <w:lang w:eastAsia="ko-KR"/>
        </w:rPr>
        <w:t>to CSI for</w:t>
      </w:r>
      <w:r>
        <w:rPr>
          <w:sz w:val="22"/>
          <w:lang w:eastAsia="ko-KR"/>
        </w:rPr>
        <w:t xml:space="preserve"> MU-MIMO</w:t>
      </w:r>
      <w:r w:rsidR="006F0407" w:rsidRPr="006F0407">
        <w:rPr>
          <w:sz w:val="22"/>
          <w:lang w:eastAsia="ko-KR"/>
        </w:rPr>
        <w:t xml:space="preserve">. </w:t>
      </w:r>
    </w:p>
    <w:p w14:paraId="5154CB79" w14:textId="77777777" w:rsidR="006F0407" w:rsidRPr="006F0407" w:rsidRDefault="006F0407" w:rsidP="00B40AD2">
      <w:pPr>
        <w:numPr>
          <w:ilvl w:val="0"/>
          <w:numId w:val="42"/>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xml:space="preserve">, taking into account the tradeoff between performance and overhead </w:t>
      </w:r>
    </w:p>
    <w:p w14:paraId="2D6F4F1B" w14:textId="7A95B9B1" w:rsidR="00462AB7" w:rsidRDefault="006F0407" w:rsidP="00B40AD2">
      <w:pPr>
        <w:numPr>
          <w:ilvl w:val="0"/>
          <w:numId w:val="42"/>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66CA46E1" w14:textId="5A278D0A" w:rsidR="00462AB7" w:rsidRDefault="00071093" w:rsidP="00B40AD2">
      <w:pPr>
        <w:snapToGrid w:val="0"/>
        <w:spacing w:before="240" w:after="120"/>
        <w:ind w:right="-99"/>
        <w:jc w:val="both"/>
        <w:textAlignment w:val="auto"/>
        <w:rPr>
          <w:sz w:val="22"/>
          <w:lang w:eastAsia="ko-KR"/>
        </w:rPr>
      </w:pPr>
      <w:r>
        <w:rPr>
          <w:sz w:val="22"/>
          <w:lang w:eastAsia="ko-KR"/>
        </w:rPr>
        <w:t>At the last</w:t>
      </w:r>
      <w:r w:rsidR="005667B1">
        <w:rPr>
          <w:sz w:val="22"/>
          <w:lang w:eastAsia="ko-KR"/>
        </w:rPr>
        <w:t xml:space="preserve"> RAN1</w:t>
      </w:r>
      <w:r>
        <w:rPr>
          <w:sz w:val="22"/>
          <w:lang w:eastAsia="ko-KR"/>
        </w:rPr>
        <w:t xml:space="preserve"> meeting</w:t>
      </w:r>
      <w:r w:rsidR="005667B1">
        <w:rPr>
          <w:sz w:val="22"/>
          <w:lang w:eastAsia="ko-KR"/>
        </w:rPr>
        <w:t xml:space="preserve"> [2]</w:t>
      </w:r>
      <w:r w:rsidR="009A1861">
        <w:rPr>
          <w:sz w:val="22"/>
          <w:lang w:eastAsia="ko-KR"/>
        </w:rPr>
        <w:t xml:space="preserve"> system level simulation assumptions</w:t>
      </w:r>
      <w:r w:rsidR="000E2918">
        <w:rPr>
          <w:sz w:val="22"/>
          <w:lang w:eastAsia="ko-KR"/>
        </w:rPr>
        <w:t xml:space="preserve"> </w:t>
      </w:r>
      <w:r w:rsidR="006D1277">
        <w:rPr>
          <w:sz w:val="22"/>
          <w:lang w:eastAsia="ko-KR"/>
        </w:rPr>
        <w:t>were</w:t>
      </w:r>
      <w:r w:rsidR="000E2918">
        <w:rPr>
          <w:sz w:val="22"/>
          <w:lang w:eastAsia="ko-KR"/>
        </w:rPr>
        <w:t xml:space="preserve"> agreed</w:t>
      </w:r>
      <w:r w:rsidR="009A1861">
        <w:rPr>
          <w:sz w:val="22"/>
          <w:lang w:eastAsia="ko-KR"/>
        </w:rPr>
        <w:t xml:space="preserve"> for evaluation of Type II CSI overhead reduction and extension of Type II CSI feedback to rank &gt; 2. </w:t>
      </w:r>
      <w:r w:rsidR="004D72C6">
        <w:rPr>
          <w:sz w:val="22"/>
          <w:lang w:eastAsia="ko-KR"/>
        </w:rPr>
        <w:t>Also, two agreements were made in the corresponding agenda item.</w:t>
      </w:r>
    </w:p>
    <w:tbl>
      <w:tblPr>
        <w:tblStyle w:val="TableGrid"/>
        <w:tblW w:w="0" w:type="auto"/>
        <w:tblLook w:val="04A0" w:firstRow="1" w:lastRow="0" w:firstColumn="1" w:lastColumn="0" w:noHBand="0" w:noVBand="1"/>
      </w:tblPr>
      <w:tblGrid>
        <w:gridCol w:w="10160"/>
      </w:tblGrid>
      <w:tr w:rsidR="00BA4246" w14:paraId="102F935F" w14:textId="77777777" w:rsidTr="00BA4246">
        <w:tc>
          <w:tcPr>
            <w:tcW w:w="10160" w:type="dxa"/>
          </w:tcPr>
          <w:p w14:paraId="0C355A4A" w14:textId="77777777" w:rsidR="00BA4246" w:rsidRPr="001659EF" w:rsidRDefault="00BA4246" w:rsidP="00BA4246">
            <w:pPr>
              <w:pStyle w:val="Style1"/>
              <w:spacing w:after="0" w:line="240" w:lineRule="auto"/>
              <w:ind w:firstLine="0"/>
              <w:rPr>
                <w:highlight w:val="green"/>
                <w:lang w:val="en-US"/>
              </w:rPr>
            </w:pPr>
            <w:r w:rsidRPr="001659EF">
              <w:rPr>
                <w:b/>
                <w:highlight w:val="green"/>
                <w:lang w:val="en-US"/>
              </w:rPr>
              <w:t>Agreement</w:t>
            </w:r>
            <w:r w:rsidRPr="001659EF">
              <w:rPr>
                <w:highlight w:val="green"/>
                <w:lang w:val="en-US"/>
              </w:rPr>
              <w:t xml:space="preserve"> </w:t>
            </w:r>
          </w:p>
          <w:p w14:paraId="75D573E4" w14:textId="77777777" w:rsidR="00BA4246" w:rsidRPr="001659EF" w:rsidRDefault="00BA4246" w:rsidP="00BA4246">
            <w:pPr>
              <w:pStyle w:val="Style1"/>
              <w:spacing w:after="0" w:line="240" w:lineRule="auto"/>
              <w:ind w:firstLine="0"/>
              <w:rPr>
                <w:lang w:val="en-US"/>
              </w:rPr>
            </w:pPr>
            <w:r w:rsidRPr="001659EF">
              <w:rPr>
                <w:lang w:val="en-US"/>
              </w:rPr>
              <w:t>On the issue of Type II overhead reduction (rank 1, 2), to further progress, interested companies are to submit evaluation results (especially performance-overhead tradeoff) in RAN1#95 once the evaluation methodology is finalized in RAN1#94B.</w:t>
            </w:r>
          </w:p>
          <w:p w14:paraId="18CBD5B6" w14:textId="77777777" w:rsidR="00BA4246" w:rsidRPr="001659EF" w:rsidRDefault="00BA4246" w:rsidP="000E2918">
            <w:pPr>
              <w:pStyle w:val="Style1"/>
              <w:numPr>
                <w:ilvl w:val="0"/>
                <w:numId w:val="44"/>
              </w:numPr>
              <w:spacing w:after="0" w:line="240" w:lineRule="auto"/>
              <w:ind w:left="738" w:hanging="273"/>
              <w:rPr>
                <w:lang w:val="en-US"/>
              </w:rPr>
            </w:pPr>
            <w:r w:rsidRPr="001659EF">
              <w:rPr>
                <w:lang w:val="en-US"/>
              </w:rPr>
              <w:t>Focus on proposals based on linear combination codebook as in Rel-15</w:t>
            </w:r>
          </w:p>
          <w:p w14:paraId="5ED25F89" w14:textId="77777777" w:rsidR="00BA4246" w:rsidRPr="001659EF" w:rsidRDefault="00BA4246" w:rsidP="00BA4246">
            <w:pPr>
              <w:pStyle w:val="Style1"/>
              <w:numPr>
                <w:ilvl w:val="0"/>
                <w:numId w:val="44"/>
              </w:numPr>
              <w:spacing w:after="0" w:line="240" w:lineRule="auto"/>
              <w:ind w:left="720" w:hanging="255"/>
              <w:rPr>
                <w:lang w:val="en-US"/>
              </w:rPr>
            </w:pPr>
            <w:r w:rsidRPr="001659EF">
              <w:rPr>
                <w:lang w:val="en-US"/>
              </w:rPr>
              <w:t>Also investigate potential common ground between frequency domain and time domain approaches, e.g. merging these two into one category</w:t>
            </w:r>
          </w:p>
          <w:p w14:paraId="47A8025B" w14:textId="77777777" w:rsidR="00BA4246" w:rsidRDefault="00BA4246" w:rsidP="00BA4246">
            <w:pPr>
              <w:rPr>
                <w:lang w:eastAsia="x-none"/>
              </w:rPr>
            </w:pPr>
          </w:p>
          <w:p w14:paraId="136F3301" w14:textId="77777777" w:rsidR="00BA4246" w:rsidRPr="00D608E1" w:rsidRDefault="00BA4246" w:rsidP="00BA4246">
            <w:pPr>
              <w:pStyle w:val="Style1"/>
              <w:spacing w:after="0" w:line="240" w:lineRule="auto"/>
              <w:ind w:firstLine="0"/>
              <w:rPr>
                <w:b/>
                <w:highlight w:val="green"/>
                <w:lang w:val="en-US"/>
              </w:rPr>
            </w:pPr>
            <w:r w:rsidRPr="00CD4E8D">
              <w:rPr>
                <w:b/>
                <w:highlight w:val="green"/>
                <w:lang w:val="en-US"/>
              </w:rPr>
              <w:t>Agreement</w:t>
            </w:r>
          </w:p>
          <w:p w14:paraId="2C046DF4" w14:textId="77777777" w:rsidR="00BA4246" w:rsidRPr="00CD4E8D" w:rsidRDefault="00BA4246" w:rsidP="00BA4246">
            <w:pPr>
              <w:pStyle w:val="Style1"/>
              <w:spacing w:after="0" w:line="240" w:lineRule="auto"/>
              <w:ind w:firstLine="0"/>
              <w:rPr>
                <w:lang w:val="en-US"/>
              </w:rPr>
            </w:pPr>
            <w:r w:rsidRPr="00CD4E8D">
              <w:rPr>
                <w:lang w:val="en-US"/>
              </w:rPr>
              <w:t>The study and, if needed, work on Type II higher rank extension is performed as follows:</w:t>
            </w:r>
          </w:p>
          <w:p w14:paraId="40FAF325" w14:textId="77777777" w:rsidR="00BA4246" w:rsidRPr="00CD4E8D" w:rsidRDefault="00BA4246" w:rsidP="00BA4246">
            <w:pPr>
              <w:pStyle w:val="Style1"/>
              <w:numPr>
                <w:ilvl w:val="0"/>
                <w:numId w:val="44"/>
              </w:numPr>
              <w:spacing w:after="0" w:line="240" w:lineRule="auto"/>
              <w:ind w:left="720" w:hanging="255"/>
              <w:rPr>
                <w:lang w:val="en-US"/>
              </w:rPr>
            </w:pPr>
            <w:r w:rsidRPr="00CD4E8D">
              <w:rPr>
                <w:lang w:val="en-US"/>
              </w:rPr>
              <w:t>Only for rank 3 and 4 by taking into account the outcome of Type II overhead reduction for rank 1-2</w:t>
            </w:r>
          </w:p>
          <w:p w14:paraId="6D1D1806" w14:textId="306201A1" w:rsidR="00BA4246" w:rsidRPr="00BA4246" w:rsidRDefault="00BA4246" w:rsidP="00421B4B">
            <w:pPr>
              <w:pStyle w:val="Style1"/>
              <w:numPr>
                <w:ilvl w:val="0"/>
                <w:numId w:val="44"/>
              </w:numPr>
              <w:spacing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18E13703" w14:textId="5E3ECCB3" w:rsidR="00295D22" w:rsidRPr="00295D22" w:rsidRDefault="004D72C6" w:rsidP="00B40AD2">
      <w:pPr>
        <w:snapToGrid w:val="0"/>
        <w:spacing w:before="240" w:after="120"/>
        <w:ind w:right="-99"/>
        <w:jc w:val="both"/>
        <w:textAlignment w:val="auto"/>
        <w:rPr>
          <w:sz w:val="22"/>
          <w:lang w:val="en-US" w:eastAsia="ko-KR"/>
        </w:rPr>
      </w:pPr>
      <w:r>
        <w:rPr>
          <w:sz w:val="22"/>
          <w:lang w:eastAsia="ko-KR"/>
        </w:rPr>
        <w:t>In this contribution solution</w:t>
      </w:r>
      <w:r w:rsidR="00157FE4">
        <w:rPr>
          <w:sz w:val="22"/>
          <w:lang w:eastAsia="ko-KR"/>
        </w:rPr>
        <w:t>s</w:t>
      </w:r>
      <w:r>
        <w:rPr>
          <w:sz w:val="22"/>
          <w:lang w:eastAsia="ko-KR"/>
        </w:rPr>
        <w:t xml:space="preserve"> for Type II CSI overhead reduction based on compression of space-frequency matrix </w:t>
      </w:r>
      <w:r w:rsidR="008A704E">
        <w:rPr>
          <w:sz w:val="22"/>
          <w:lang w:eastAsia="ko-KR"/>
        </w:rPr>
        <w:t>are</w:t>
      </w:r>
      <w:r>
        <w:rPr>
          <w:sz w:val="22"/>
          <w:lang w:eastAsia="ko-KR"/>
        </w:rPr>
        <w:t xml:space="preserve"> discussed. CSI reporting overhead analysis </w:t>
      </w:r>
      <w:r>
        <w:rPr>
          <w:sz w:val="22"/>
          <w:lang w:val="en-US" w:eastAsia="ko-KR"/>
        </w:rPr>
        <w:t>and system level evaluation results are provided.</w:t>
      </w:r>
      <w:r w:rsidR="001B31DA">
        <w:rPr>
          <w:sz w:val="22"/>
          <w:lang w:val="en-US" w:eastAsia="ko-KR"/>
        </w:rPr>
        <w:t xml:space="preserve"> </w:t>
      </w:r>
      <w:r w:rsidR="00295D22">
        <w:rPr>
          <w:sz w:val="22"/>
          <w:lang w:val="en-US" w:eastAsia="ko-KR"/>
        </w:rPr>
        <w:t xml:space="preserve">In addition, </w:t>
      </w:r>
      <w:r w:rsidR="008A704E">
        <w:rPr>
          <w:sz w:val="22"/>
          <w:lang w:val="en-US" w:eastAsia="ko-KR"/>
        </w:rPr>
        <w:t xml:space="preserve">codebook design is discussed </w:t>
      </w:r>
      <w:r w:rsidR="00295D22">
        <w:rPr>
          <w:sz w:val="22"/>
          <w:lang w:val="en-US" w:eastAsia="ko-KR"/>
        </w:rPr>
        <w:t xml:space="preserve">for rank 3-4 </w:t>
      </w:r>
      <w:r w:rsidR="00B677F6">
        <w:rPr>
          <w:sz w:val="22"/>
          <w:lang w:val="en-US" w:eastAsia="ko-KR"/>
        </w:rPr>
        <w:t>PMI</w:t>
      </w:r>
      <w:r w:rsidR="00295D22">
        <w:rPr>
          <w:sz w:val="22"/>
          <w:lang w:val="en-US" w:eastAsia="ko-KR"/>
        </w:rPr>
        <w:t xml:space="preserve"> reporting with Type II-like</w:t>
      </w:r>
      <w:r w:rsidR="0063654B">
        <w:rPr>
          <w:sz w:val="22"/>
          <w:lang w:val="en-US" w:eastAsia="ko-KR"/>
        </w:rPr>
        <w:t xml:space="preserve"> PMI</w:t>
      </w:r>
      <w:r w:rsidR="00295D22">
        <w:rPr>
          <w:sz w:val="22"/>
          <w:lang w:val="en-US" w:eastAsia="ko-KR"/>
        </w:rPr>
        <w:t xml:space="preserve"> </w:t>
      </w:r>
      <w:r w:rsidR="00B677F6">
        <w:rPr>
          <w:sz w:val="22"/>
          <w:lang w:val="en-US" w:eastAsia="ko-KR"/>
        </w:rPr>
        <w:t>structure</w:t>
      </w:r>
      <w:r w:rsidR="00295D22">
        <w:rPr>
          <w:sz w:val="22"/>
          <w:lang w:val="en-US" w:eastAsia="ko-KR"/>
        </w:rPr>
        <w:t xml:space="preserve"> based on linear combination of</w:t>
      </w:r>
      <w:r w:rsidR="00CA1B09">
        <w:rPr>
          <w:sz w:val="22"/>
          <w:lang w:val="en-US" w:eastAsia="ko-KR"/>
        </w:rPr>
        <w:t xml:space="preserve"> spatial</w:t>
      </w:r>
      <w:r w:rsidR="00295D22">
        <w:rPr>
          <w:sz w:val="22"/>
          <w:lang w:val="en-US" w:eastAsia="ko-KR"/>
        </w:rPr>
        <w:t xml:space="preserve"> DFT beams.</w:t>
      </w:r>
    </w:p>
    <w:p w14:paraId="6995A76F" w14:textId="23FDBF00" w:rsidR="00443747" w:rsidRPr="00CF623B" w:rsidRDefault="00790513" w:rsidP="00CF623B">
      <w:pPr>
        <w:pStyle w:val="Heading1"/>
        <w:numPr>
          <w:ilvl w:val="0"/>
          <w:numId w:val="5"/>
        </w:numPr>
        <w:spacing w:before="120" w:after="60"/>
        <w:jc w:val="both"/>
        <w:rPr>
          <w:rFonts w:cs="Arial"/>
          <w:lang w:val="en-US"/>
        </w:rPr>
      </w:pPr>
      <w:r>
        <w:rPr>
          <w:rFonts w:cs="Arial"/>
          <w:lang w:val="en-US"/>
        </w:rPr>
        <w:lastRenderedPageBreak/>
        <w:t>Discussion</w:t>
      </w:r>
    </w:p>
    <w:p w14:paraId="62CE66A7" w14:textId="2B5645F6" w:rsidR="0001712C" w:rsidRPr="0001712C" w:rsidRDefault="00C015DD" w:rsidP="0001712C">
      <w:pPr>
        <w:pStyle w:val="Heading2"/>
        <w:rPr>
          <w:sz w:val="28"/>
        </w:rPr>
      </w:pPr>
      <w:r>
        <w:rPr>
          <w:sz w:val="28"/>
        </w:rPr>
        <w:t>2.</w:t>
      </w:r>
      <w:r w:rsidR="00CF623B">
        <w:rPr>
          <w:sz w:val="28"/>
        </w:rPr>
        <w:t>1</w:t>
      </w:r>
      <w:r w:rsidR="009F78BB">
        <w:rPr>
          <w:sz w:val="28"/>
        </w:rPr>
        <w:t xml:space="preserve">. </w:t>
      </w:r>
      <w:r w:rsidR="006F0407" w:rsidRPr="006F0407">
        <w:rPr>
          <w:sz w:val="28"/>
        </w:rPr>
        <w:t>Feedback overhead reduction for Type II CSI</w:t>
      </w:r>
    </w:p>
    <w:p w14:paraId="28387115" w14:textId="64016FF4" w:rsidR="00C80AD7" w:rsidRDefault="007C15C3" w:rsidP="00987210">
      <w:pPr>
        <w:jc w:val="both"/>
        <w:rPr>
          <w:sz w:val="22"/>
          <w:lang w:eastAsia="ko-KR"/>
        </w:rPr>
      </w:pPr>
      <w:r>
        <w:rPr>
          <w:sz w:val="22"/>
          <w:lang w:eastAsia="ko-KR"/>
        </w:rPr>
        <w:t>F</w:t>
      </w:r>
      <w:r w:rsidR="00882280">
        <w:rPr>
          <w:sz w:val="22"/>
          <w:lang w:eastAsia="ko-KR"/>
        </w:rPr>
        <w:t xml:space="preserve">eedback overhead reduction schemes </w:t>
      </w:r>
      <w:r w:rsidR="00500BC2">
        <w:rPr>
          <w:sz w:val="22"/>
          <w:lang w:eastAsia="ko-KR"/>
        </w:rPr>
        <w:t>are</w:t>
      </w:r>
      <w:r w:rsidR="00882280">
        <w:rPr>
          <w:sz w:val="22"/>
          <w:lang w:eastAsia="ko-KR"/>
        </w:rPr>
        <w:t xml:space="preserve"> </w:t>
      </w:r>
      <w:r w:rsidR="00421B4B">
        <w:rPr>
          <w:sz w:val="22"/>
          <w:lang w:eastAsia="ko-KR"/>
        </w:rPr>
        <w:t>categorized in</w:t>
      </w:r>
      <w:r w:rsidR="00882280">
        <w:rPr>
          <w:sz w:val="22"/>
          <w:lang w:eastAsia="ko-KR"/>
        </w:rPr>
        <w:t xml:space="preserve"> two main groups: frequency domain compression and time domain compression</w:t>
      </w:r>
      <w:r w:rsidR="00421B4B">
        <w:rPr>
          <w:sz w:val="22"/>
          <w:lang w:eastAsia="ko-KR"/>
        </w:rPr>
        <w:t xml:space="preserve"> [3]</w:t>
      </w:r>
      <w:r w:rsidR="00882280">
        <w:rPr>
          <w:sz w:val="22"/>
          <w:lang w:eastAsia="ko-KR"/>
        </w:rPr>
        <w:t xml:space="preserve">. </w:t>
      </w:r>
      <w:r w:rsidR="00987210">
        <w:rPr>
          <w:sz w:val="22"/>
          <w:lang w:eastAsia="ko-KR"/>
        </w:rPr>
        <w:t xml:space="preserve">Both groups of overhead reduction schemes </w:t>
      </w:r>
      <w:r w:rsidR="00A5090D">
        <w:rPr>
          <w:sz w:val="22"/>
          <w:lang w:eastAsia="ko-KR"/>
        </w:rPr>
        <w:t xml:space="preserve">exploit frequency domain correlation of beam combining coefficients. </w:t>
      </w:r>
    </w:p>
    <w:p w14:paraId="19093625" w14:textId="044BA6AA" w:rsidR="00401594" w:rsidRPr="00401594" w:rsidRDefault="00B004F1" w:rsidP="00401594">
      <w:pPr>
        <w:jc w:val="both"/>
        <w:rPr>
          <w:sz w:val="22"/>
          <w:szCs w:val="22"/>
          <w:lang w:eastAsia="ko-KR"/>
        </w:rPr>
      </w:pPr>
      <w:r>
        <w:rPr>
          <w:sz w:val="22"/>
          <w:lang w:eastAsia="ko-KR"/>
        </w:rPr>
        <w:t>P</w:t>
      </w:r>
      <w:r w:rsidR="00724BE0">
        <w:rPr>
          <w:sz w:val="22"/>
          <w:lang w:eastAsia="ko-KR"/>
        </w:rPr>
        <w:t>recoding</w:t>
      </w:r>
      <w:r w:rsidR="00401594">
        <w:rPr>
          <w:sz w:val="22"/>
          <w:lang w:eastAsia="ko-KR"/>
        </w:rPr>
        <w:t xml:space="preserve"> matrix of Type II NR codebook </w:t>
      </w:r>
      <w:r w:rsidR="00421B4B">
        <w:rPr>
          <w:sz w:val="22"/>
          <w:lang w:eastAsia="ko-KR"/>
        </w:rPr>
        <w:t>can be</w:t>
      </w:r>
      <w:r w:rsidR="00401594">
        <w:rPr>
          <w:sz w:val="22"/>
          <w:lang w:eastAsia="ko-KR"/>
        </w:rPr>
        <w:t xml:space="preserve"> represented as a </w:t>
      </w:r>
      <w:r w:rsidR="00401594" w:rsidRPr="00401594">
        <w:rPr>
          <w:sz w:val="22"/>
          <w:szCs w:val="22"/>
          <w:lang w:eastAsia="ko-KR"/>
        </w:rPr>
        <w:t>product of two matrixes</w:t>
      </w:r>
      <w:r w:rsidR="00401594">
        <w:rPr>
          <w:sz w:val="22"/>
          <w:szCs w:val="22"/>
          <w:lang w:eastAsia="ko-KR"/>
        </w:rPr>
        <w:t xml:space="preserve"> for </w:t>
      </w:r>
      <w:r w:rsidR="001D66A4">
        <w:rPr>
          <w:sz w:val="22"/>
          <w:szCs w:val="22"/>
          <w:lang w:eastAsia="ko-KR"/>
        </w:rPr>
        <w:t>a set of frequency resources</w:t>
      </w:r>
      <w:r w:rsidR="00421B4B">
        <w:rPr>
          <w:sz w:val="22"/>
          <w:szCs w:val="22"/>
          <w:lang w:eastAsia="ko-KR"/>
        </w:rPr>
        <w:t xml:space="preserve"> </w:t>
      </w:r>
      <w:r w:rsidR="00401594" w:rsidRPr="00401594">
        <w:rPr>
          <w:sz w:val="22"/>
          <w:szCs w:val="22"/>
          <w:lang w:eastAsia="ko-KR"/>
        </w:rPr>
        <w:t>(1)</w:t>
      </w:r>
      <w:r w:rsidR="00401594">
        <w:rPr>
          <w:sz w:val="22"/>
          <w:szCs w:val="22"/>
          <w:lang w:eastAsia="ko-KR"/>
        </w:rPr>
        <w:t>.</w:t>
      </w:r>
      <w:r w:rsidR="003D19ED">
        <w:rPr>
          <w:sz w:val="22"/>
          <w:szCs w:val="22"/>
          <w:lang w:eastAsia="ko-KR"/>
        </w:rPr>
        <w:t xml:space="preserve"> </w:t>
      </w:r>
      <w:r w:rsidR="003D19ED">
        <w:rPr>
          <w:color w:val="000000"/>
          <w:sz w:val="22"/>
          <w:szCs w:val="22"/>
          <w:lang w:eastAsia="en-GB"/>
        </w:rPr>
        <w:t xml:space="preserve">For Rel. 15 </w:t>
      </w:r>
      <w:r w:rsidR="009C0B28">
        <w:rPr>
          <w:color w:val="000000"/>
          <w:sz w:val="22"/>
          <w:szCs w:val="22"/>
          <w:lang w:eastAsia="en-GB"/>
        </w:rPr>
        <w:t>Type II codebook</w:t>
      </w:r>
      <w:r w:rsidR="003D19ED">
        <w:rPr>
          <w:color w:val="000000"/>
          <w:sz w:val="22"/>
          <w:szCs w:val="22"/>
          <w:lang w:eastAsia="en-GB"/>
        </w:rPr>
        <w:t xml:space="preserve"> design, frequency resource corresponds to</w:t>
      </w:r>
      <w:r w:rsidR="009C0B28">
        <w:rPr>
          <w:color w:val="000000"/>
          <w:sz w:val="22"/>
          <w:szCs w:val="22"/>
          <w:lang w:eastAsia="en-GB"/>
        </w:rPr>
        <w:t xml:space="preserve"> a</w:t>
      </w:r>
      <w:r w:rsidR="003D19ED">
        <w:rPr>
          <w:color w:val="000000"/>
          <w:sz w:val="22"/>
          <w:szCs w:val="22"/>
          <w:lang w:eastAsia="en-GB"/>
        </w:rPr>
        <w:t xml:space="preserve"> subband</w:t>
      </w:r>
      <w:r w:rsidR="009C0B28">
        <w:rPr>
          <w:color w:val="000000"/>
          <w:sz w:val="22"/>
          <w:szCs w:val="22"/>
          <w:lang w:eastAsia="en-GB"/>
        </w:rPr>
        <w:t xml:space="preserve"> configured for CSI reporting</w:t>
      </w:r>
      <w:r w:rsidR="003D19ED">
        <w:rPr>
          <w:color w:val="000000"/>
          <w:sz w:val="22"/>
          <w:szCs w:val="22"/>
          <w:lang w:eastAsia="en-GB"/>
        </w:rPr>
        <w:t>.</w:t>
      </w:r>
    </w:p>
    <w:p w14:paraId="26BC4DC4" w14:textId="681710D1" w:rsidR="00401594" w:rsidRDefault="00401594" w:rsidP="00401594">
      <w:pPr>
        <w:tabs>
          <w:tab w:val="left" w:pos="4395"/>
          <w:tab w:val="left" w:pos="9781"/>
        </w:tabs>
        <w:jc w:val="both"/>
        <w:rPr>
          <w:color w:val="000000"/>
          <w:sz w:val="22"/>
          <w:szCs w:val="22"/>
          <w:lang w:eastAsia="en-GB"/>
        </w:rPr>
      </w:pPr>
      <w:r w:rsidRPr="00401594">
        <w:rPr>
          <w:color w:val="000000"/>
          <w:sz w:val="22"/>
          <w:szCs w:val="22"/>
          <w:lang w:eastAsia="en-GB"/>
        </w:rPr>
        <w:tab/>
      </w:r>
      <w:r w:rsidRPr="00401594">
        <w:rPr>
          <w:color w:val="000000"/>
          <w:position w:val="-10"/>
          <w:sz w:val="22"/>
          <w:szCs w:val="22"/>
          <w:lang w:eastAsia="en-GB"/>
        </w:rPr>
        <w:object w:dxaOrig="1780" w:dyaOrig="320" w14:anchorId="1EF54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6.5pt" o:ole="">
            <v:imagedata r:id="rId11" o:title=""/>
          </v:shape>
          <o:OLEObject Type="Embed" ProgID="Equation.DSMT4" ShapeID="_x0000_i1025" DrawAspect="Content" ObjectID="_1603196169" r:id="rId12"/>
        </w:object>
      </w:r>
      <w:r w:rsidRPr="00401594">
        <w:rPr>
          <w:color w:val="000000"/>
          <w:sz w:val="22"/>
          <w:szCs w:val="22"/>
          <w:lang w:eastAsia="en-GB"/>
        </w:rPr>
        <w:t>,</w:t>
      </w:r>
      <w:r w:rsidRPr="00401594">
        <w:rPr>
          <w:color w:val="000000"/>
          <w:sz w:val="22"/>
          <w:szCs w:val="22"/>
          <w:lang w:eastAsia="en-GB"/>
        </w:rPr>
        <w:tab/>
        <w:t>(</w:t>
      </w:r>
      <w:r w:rsidR="00E977D2">
        <w:rPr>
          <w:color w:val="000000"/>
          <w:sz w:val="22"/>
          <w:szCs w:val="22"/>
          <w:lang w:eastAsia="en-GB"/>
        </w:rPr>
        <w:t>1</w:t>
      </w:r>
      <w:r w:rsidRPr="00401594">
        <w:rPr>
          <w:color w:val="000000"/>
          <w:sz w:val="22"/>
          <w:szCs w:val="22"/>
          <w:lang w:eastAsia="en-GB"/>
        </w:rPr>
        <w:t>)</w:t>
      </w:r>
    </w:p>
    <w:p w14:paraId="541CE12C" w14:textId="3B3239CD" w:rsidR="00401594" w:rsidRDefault="00401594" w:rsidP="00401594">
      <w:pPr>
        <w:tabs>
          <w:tab w:val="left" w:pos="4395"/>
          <w:tab w:val="left" w:pos="9781"/>
        </w:tabs>
        <w:jc w:val="both"/>
        <w:rPr>
          <w:color w:val="000000"/>
          <w:sz w:val="22"/>
          <w:szCs w:val="22"/>
          <w:lang w:eastAsia="en-GB"/>
        </w:rPr>
      </w:pPr>
      <w:r w:rsidRPr="00401594">
        <w:rPr>
          <w:b/>
          <w:color w:val="000000"/>
          <w:sz w:val="22"/>
          <w:szCs w:val="22"/>
          <w:lang w:eastAsia="en-GB"/>
        </w:rPr>
        <w:t>W</w:t>
      </w:r>
      <w:r w:rsidRPr="00401594">
        <w:rPr>
          <w:color w:val="000000"/>
          <w:sz w:val="22"/>
          <w:szCs w:val="22"/>
          <w:lang w:eastAsia="en-GB"/>
        </w:rPr>
        <w:t>(</w:t>
      </w:r>
      <w:r w:rsidRPr="00401594">
        <w:rPr>
          <w:i/>
          <w:color w:val="000000"/>
          <w:sz w:val="22"/>
          <w:szCs w:val="22"/>
          <w:lang w:eastAsia="en-GB"/>
        </w:rPr>
        <w:t>k</w:t>
      </w:r>
      <w:r w:rsidRPr="00401594">
        <w:rPr>
          <w:color w:val="000000"/>
          <w:sz w:val="22"/>
          <w:szCs w:val="22"/>
          <w:lang w:eastAsia="en-GB"/>
        </w:rPr>
        <w:t xml:space="preserve">) – </w:t>
      </w:r>
      <w:r w:rsidR="00203862" w:rsidRPr="00401594">
        <w:rPr>
          <w:i/>
          <w:color w:val="000000"/>
          <w:sz w:val="22"/>
          <w:szCs w:val="22"/>
          <w:lang w:eastAsia="en-GB"/>
        </w:rPr>
        <w:t>N</w:t>
      </w:r>
      <w:r w:rsidR="00203862">
        <w:rPr>
          <w:color w:val="000000"/>
          <w:sz w:val="22"/>
          <w:szCs w:val="22"/>
          <w:vertAlign w:val="subscript"/>
          <w:lang w:eastAsia="en-GB"/>
        </w:rPr>
        <w:t>TX</w:t>
      </w:r>
      <w:r w:rsidR="00203862" w:rsidRPr="00401594">
        <w:rPr>
          <w:color w:val="000000"/>
          <w:sz w:val="22"/>
          <w:szCs w:val="22"/>
          <w:lang w:eastAsia="en-GB"/>
        </w:rPr>
        <w:t xml:space="preserve"> × </w:t>
      </w:r>
      <w:r w:rsidR="00203862" w:rsidRPr="00401594">
        <w:rPr>
          <w:i/>
          <w:color w:val="000000"/>
          <w:sz w:val="22"/>
          <w:szCs w:val="22"/>
          <w:lang w:eastAsia="en-GB"/>
        </w:rPr>
        <w:t>R</w:t>
      </w:r>
      <w:r w:rsidR="00203862" w:rsidRPr="00401594">
        <w:rPr>
          <w:color w:val="000000"/>
          <w:sz w:val="22"/>
          <w:szCs w:val="22"/>
          <w:lang w:eastAsia="en-GB"/>
        </w:rPr>
        <w:t xml:space="preserve"> </w:t>
      </w:r>
      <w:r w:rsidRPr="00401594">
        <w:rPr>
          <w:color w:val="000000"/>
          <w:sz w:val="22"/>
          <w:szCs w:val="22"/>
          <w:lang w:eastAsia="en-GB"/>
        </w:rPr>
        <w:t>precoding matrix for</w:t>
      </w:r>
      <w:r>
        <w:rPr>
          <w:color w:val="000000"/>
          <w:sz w:val="22"/>
          <w:szCs w:val="22"/>
          <w:lang w:eastAsia="en-GB"/>
        </w:rPr>
        <w:t xml:space="preserve"> </w:t>
      </w:r>
      <w:r w:rsidR="001D66A4">
        <w:rPr>
          <w:color w:val="000000"/>
          <w:sz w:val="22"/>
          <w:szCs w:val="22"/>
          <w:lang w:eastAsia="en-GB"/>
        </w:rPr>
        <w:t>frequency resource</w:t>
      </w:r>
      <w:r w:rsidRPr="00401594">
        <w:rPr>
          <w:color w:val="000000"/>
          <w:sz w:val="22"/>
          <w:szCs w:val="22"/>
          <w:lang w:eastAsia="en-GB"/>
        </w:rPr>
        <w:t xml:space="preserve"> </w:t>
      </w:r>
      <w:r w:rsidRPr="00401594">
        <w:rPr>
          <w:i/>
          <w:color w:val="000000"/>
          <w:sz w:val="22"/>
          <w:szCs w:val="22"/>
          <w:lang w:eastAsia="en-GB"/>
        </w:rPr>
        <w:t>k</w:t>
      </w:r>
      <w:r w:rsidRPr="00401594">
        <w:rPr>
          <w:color w:val="000000"/>
          <w:sz w:val="22"/>
          <w:szCs w:val="22"/>
          <w:lang w:eastAsia="en-GB"/>
        </w:rPr>
        <w:t>,</w:t>
      </w:r>
      <w:r>
        <w:rPr>
          <w:color w:val="000000"/>
          <w:sz w:val="22"/>
          <w:szCs w:val="22"/>
          <w:lang w:eastAsia="en-GB"/>
        </w:rPr>
        <w:t xml:space="preserve"> </w:t>
      </w:r>
      <w:r w:rsidRPr="00401594">
        <w:rPr>
          <w:i/>
          <w:color w:val="000000"/>
          <w:sz w:val="22"/>
          <w:szCs w:val="22"/>
          <w:lang w:eastAsia="en-GB"/>
        </w:rPr>
        <w:t>N</w:t>
      </w:r>
      <w:r w:rsidRPr="00401594">
        <w:rPr>
          <w:i/>
          <w:color w:val="000000"/>
          <w:sz w:val="22"/>
          <w:szCs w:val="22"/>
          <w:vertAlign w:val="subscript"/>
          <w:lang w:eastAsia="en-GB"/>
        </w:rPr>
        <w:t>TX</w:t>
      </w:r>
      <w:r>
        <w:rPr>
          <w:color w:val="000000"/>
          <w:sz w:val="22"/>
          <w:szCs w:val="22"/>
          <w:lang w:eastAsia="en-GB"/>
        </w:rPr>
        <w:t xml:space="preserve"> – number of transmission ports, </w:t>
      </w:r>
      <w:r w:rsidRPr="004E563C">
        <w:rPr>
          <w:i/>
          <w:color w:val="000000"/>
          <w:sz w:val="22"/>
          <w:szCs w:val="22"/>
          <w:lang w:eastAsia="en-GB"/>
        </w:rPr>
        <w:t>R</w:t>
      </w:r>
      <w:r>
        <w:rPr>
          <w:color w:val="000000"/>
          <w:sz w:val="22"/>
          <w:szCs w:val="22"/>
          <w:lang w:eastAsia="en-GB"/>
        </w:rPr>
        <w:t xml:space="preserve"> – rank of precoding matrix,</w:t>
      </w:r>
      <w:r w:rsidRPr="00401594">
        <w:rPr>
          <w:color w:val="000000"/>
          <w:sz w:val="22"/>
          <w:szCs w:val="22"/>
          <w:lang w:eastAsia="en-GB"/>
        </w:rPr>
        <w:t xml:space="preserve"> </w:t>
      </w:r>
      <w:r w:rsidRPr="00401594">
        <w:rPr>
          <w:b/>
          <w:color w:val="000000"/>
          <w:sz w:val="22"/>
          <w:szCs w:val="22"/>
          <w:lang w:eastAsia="en-GB"/>
        </w:rPr>
        <w:t>W</w:t>
      </w:r>
      <w:r w:rsidRPr="00401594">
        <w:rPr>
          <w:color w:val="000000"/>
          <w:sz w:val="22"/>
          <w:szCs w:val="22"/>
          <w:vertAlign w:val="subscript"/>
          <w:lang w:eastAsia="en-GB"/>
        </w:rPr>
        <w:t>1</w:t>
      </w:r>
      <w:r w:rsidRPr="00401594">
        <w:rPr>
          <w:color w:val="000000"/>
          <w:sz w:val="22"/>
          <w:szCs w:val="22"/>
          <w:lang w:eastAsia="en-GB"/>
        </w:rPr>
        <w:t xml:space="preserve"> – </w:t>
      </w:r>
      <w:r w:rsidR="009618B7" w:rsidRPr="00401594">
        <w:rPr>
          <w:i/>
          <w:color w:val="000000"/>
          <w:sz w:val="22"/>
          <w:szCs w:val="22"/>
          <w:lang w:eastAsia="en-GB"/>
        </w:rPr>
        <w:t>N</w:t>
      </w:r>
      <w:r w:rsidR="009618B7" w:rsidRPr="00401594">
        <w:rPr>
          <w:i/>
          <w:color w:val="000000"/>
          <w:sz w:val="22"/>
          <w:szCs w:val="22"/>
          <w:vertAlign w:val="subscript"/>
          <w:lang w:eastAsia="en-GB"/>
        </w:rPr>
        <w:t>TX</w:t>
      </w:r>
      <w:r w:rsidR="009618B7" w:rsidRPr="00401594">
        <w:rPr>
          <w:color w:val="000000"/>
          <w:sz w:val="22"/>
          <w:szCs w:val="22"/>
          <w:lang w:eastAsia="en-GB"/>
        </w:rPr>
        <w:t xml:space="preserve"> × </w:t>
      </w:r>
      <w:r w:rsidR="009618B7" w:rsidRPr="00401594">
        <w:rPr>
          <w:i/>
          <w:color w:val="000000"/>
          <w:sz w:val="22"/>
          <w:szCs w:val="22"/>
          <w:lang w:eastAsia="en-GB"/>
        </w:rPr>
        <w:t>2L</w:t>
      </w:r>
      <w:r w:rsidR="009618B7" w:rsidRPr="00401594">
        <w:rPr>
          <w:color w:val="000000"/>
          <w:sz w:val="22"/>
          <w:szCs w:val="22"/>
          <w:lang w:eastAsia="en-GB"/>
        </w:rPr>
        <w:t xml:space="preserve"> </w:t>
      </w:r>
      <w:r w:rsidRPr="00401594">
        <w:rPr>
          <w:color w:val="000000"/>
          <w:sz w:val="22"/>
          <w:szCs w:val="22"/>
          <w:lang w:eastAsia="en-GB"/>
        </w:rPr>
        <w:t xml:space="preserve">matrix </w:t>
      </w:r>
      <w:r w:rsidR="009B0160">
        <w:rPr>
          <w:color w:val="000000"/>
          <w:sz w:val="22"/>
          <w:szCs w:val="22"/>
          <w:lang w:eastAsia="en-GB"/>
        </w:rPr>
        <w:t>of spatial basis</w:t>
      </w:r>
      <w:r w:rsidRPr="00401594">
        <w:rPr>
          <w:color w:val="000000"/>
          <w:sz w:val="22"/>
          <w:szCs w:val="22"/>
          <w:lang w:eastAsia="en-GB"/>
        </w:rPr>
        <w:t xml:space="preserve">, </w:t>
      </w:r>
      <w:r w:rsidR="00C157C6" w:rsidRPr="004E563C">
        <w:rPr>
          <w:i/>
          <w:color w:val="000000"/>
          <w:sz w:val="22"/>
          <w:szCs w:val="22"/>
          <w:lang w:eastAsia="en-GB"/>
        </w:rPr>
        <w:t>L</w:t>
      </w:r>
      <w:r w:rsidR="00C157C6">
        <w:rPr>
          <w:color w:val="000000"/>
          <w:sz w:val="22"/>
          <w:szCs w:val="22"/>
          <w:lang w:eastAsia="en-GB"/>
        </w:rPr>
        <w:t xml:space="preserve"> – number of spatial beams in linear combination, </w:t>
      </w:r>
      <w:r w:rsidRPr="00401594">
        <w:rPr>
          <w:b/>
          <w:color w:val="000000"/>
          <w:sz w:val="22"/>
          <w:szCs w:val="22"/>
          <w:lang w:eastAsia="en-GB"/>
        </w:rPr>
        <w:t>W</w:t>
      </w:r>
      <w:r w:rsidRPr="00401594">
        <w:rPr>
          <w:color w:val="000000"/>
          <w:sz w:val="22"/>
          <w:szCs w:val="22"/>
          <w:vertAlign w:val="subscript"/>
          <w:lang w:eastAsia="en-GB"/>
        </w:rPr>
        <w:t>2</w:t>
      </w:r>
      <w:r w:rsidRPr="00401594">
        <w:rPr>
          <w:color w:val="000000"/>
          <w:sz w:val="22"/>
          <w:szCs w:val="22"/>
          <w:lang w:eastAsia="en-GB"/>
        </w:rPr>
        <w:t>(</w:t>
      </w:r>
      <w:r w:rsidRPr="00401594">
        <w:rPr>
          <w:i/>
          <w:color w:val="000000"/>
          <w:sz w:val="22"/>
          <w:szCs w:val="22"/>
          <w:lang w:eastAsia="en-GB"/>
        </w:rPr>
        <w:t>k</w:t>
      </w:r>
      <w:r w:rsidRPr="00401594">
        <w:rPr>
          <w:color w:val="000000"/>
          <w:sz w:val="22"/>
          <w:szCs w:val="22"/>
          <w:lang w:eastAsia="en-GB"/>
        </w:rPr>
        <w:t xml:space="preserve">) – </w:t>
      </w:r>
      <w:r w:rsidR="009618B7" w:rsidRPr="00401594">
        <w:rPr>
          <w:color w:val="000000"/>
          <w:sz w:val="22"/>
          <w:szCs w:val="22"/>
          <w:lang w:eastAsia="en-GB"/>
        </w:rPr>
        <w:t>2</w:t>
      </w:r>
      <w:r w:rsidR="009618B7" w:rsidRPr="00401594">
        <w:rPr>
          <w:i/>
          <w:color w:val="000000"/>
          <w:sz w:val="22"/>
          <w:szCs w:val="22"/>
          <w:lang w:eastAsia="en-GB"/>
        </w:rPr>
        <w:t>L</w:t>
      </w:r>
      <w:r w:rsidR="009618B7" w:rsidRPr="00401594">
        <w:rPr>
          <w:color w:val="000000"/>
          <w:sz w:val="22"/>
          <w:szCs w:val="22"/>
          <w:lang w:eastAsia="en-GB"/>
        </w:rPr>
        <w:t xml:space="preserve"> × </w:t>
      </w:r>
      <w:r w:rsidR="009618B7" w:rsidRPr="00401594">
        <w:rPr>
          <w:i/>
          <w:color w:val="000000"/>
          <w:sz w:val="22"/>
          <w:szCs w:val="22"/>
          <w:lang w:eastAsia="en-GB"/>
        </w:rPr>
        <w:t>R</w:t>
      </w:r>
      <w:r w:rsidR="009618B7" w:rsidRPr="00401594">
        <w:rPr>
          <w:color w:val="000000"/>
          <w:sz w:val="22"/>
          <w:szCs w:val="22"/>
          <w:lang w:eastAsia="en-GB"/>
        </w:rPr>
        <w:t xml:space="preserve"> </w:t>
      </w:r>
      <w:r w:rsidRPr="00401594">
        <w:rPr>
          <w:color w:val="000000"/>
          <w:sz w:val="22"/>
          <w:szCs w:val="22"/>
          <w:lang w:eastAsia="en-GB"/>
        </w:rPr>
        <w:t xml:space="preserve">matrix with </w:t>
      </w:r>
      <w:r w:rsidR="00C157C6">
        <w:rPr>
          <w:color w:val="000000"/>
          <w:sz w:val="22"/>
          <w:szCs w:val="22"/>
          <w:lang w:eastAsia="en-GB"/>
        </w:rPr>
        <w:t>coefficients of linear combination</w:t>
      </w:r>
      <w:r w:rsidRPr="00401594">
        <w:rPr>
          <w:color w:val="000000"/>
          <w:sz w:val="22"/>
          <w:szCs w:val="22"/>
          <w:lang w:eastAsia="en-GB"/>
        </w:rPr>
        <w:t xml:space="preserve"> for </w:t>
      </w:r>
      <w:r w:rsidR="001D66A4">
        <w:rPr>
          <w:color w:val="000000"/>
          <w:sz w:val="22"/>
          <w:szCs w:val="22"/>
          <w:lang w:eastAsia="en-GB"/>
        </w:rPr>
        <w:t>frequency resource</w:t>
      </w:r>
      <w:r w:rsidRPr="00401594">
        <w:rPr>
          <w:color w:val="000000"/>
          <w:sz w:val="22"/>
          <w:szCs w:val="22"/>
          <w:lang w:eastAsia="en-GB"/>
        </w:rPr>
        <w:t xml:space="preserve"> </w:t>
      </w:r>
      <w:r w:rsidRPr="00401594">
        <w:rPr>
          <w:i/>
          <w:color w:val="000000"/>
          <w:sz w:val="22"/>
          <w:szCs w:val="22"/>
          <w:lang w:eastAsia="en-GB"/>
        </w:rPr>
        <w:t>k</w:t>
      </w:r>
      <w:r w:rsidRPr="00401594">
        <w:rPr>
          <w:color w:val="000000"/>
          <w:sz w:val="22"/>
          <w:szCs w:val="22"/>
          <w:lang w:eastAsia="en-GB"/>
        </w:rPr>
        <w:t xml:space="preserve">, </w:t>
      </w:r>
      <w:r w:rsidR="005A50E1" w:rsidRPr="00401594">
        <w:rPr>
          <w:i/>
          <w:color w:val="000000"/>
          <w:sz w:val="22"/>
          <w:szCs w:val="22"/>
          <w:lang w:eastAsia="en-GB"/>
        </w:rPr>
        <w:t>k</w:t>
      </w:r>
      <w:r w:rsidR="005A50E1" w:rsidRPr="00401594">
        <w:rPr>
          <w:color w:val="000000"/>
          <w:sz w:val="22"/>
          <w:szCs w:val="22"/>
          <w:lang w:eastAsia="en-GB"/>
        </w:rPr>
        <w:t> = 1,2,…,</w:t>
      </w:r>
      <w:r w:rsidR="005A50E1" w:rsidRPr="00401594">
        <w:rPr>
          <w:i/>
          <w:color w:val="000000"/>
          <w:sz w:val="22"/>
          <w:szCs w:val="22"/>
          <w:lang w:eastAsia="en-GB"/>
        </w:rPr>
        <w:t>N</w:t>
      </w:r>
      <w:r w:rsidRPr="00401594">
        <w:rPr>
          <w:color w:val="000000"/>
          <w:sz w:val="22"/>
          <w:szCs w:val="22"/>
          <w:lang w:eastAsia="en-GB"/>
        </w:rPr>
        <w:t xml:space="preserve"> – index of </w:t>
      </w:r>
      <w:r w:rsidR="001D66A4">
        <w:rPr>
          <w:color w:val="000000"/>
          <w:sz w:val="22"/>
          <w:szCs w:val="22"/>
          <w:lang w:eastAsia="en-GB"/>
        </w:rPr>
        <w:t>frequency resource</w:t>
      </w:r>
      <w:r w:rsidRPr="00401594">
        <w:rPr>
          <w:color w:val="000000"/>
          <w:sz w:val="22"/>
          <w:szCs w:val="22"/>
          <w:lang w:eastAsia="en-GB"/>
        </w:rPr>
        <w:t>.</w:t>
      </w:r>
      <w:r w:rsidR="00C157C6">
        <w:rPr>
          <w:color w:val="000000"/>
          <w:sz w:val="22"/>
          <w:szCs w:val="22"/>
          <w:lang w:eastAsia="en-GB"/>
        </w:rPr>
        <w:t xml:space="preserve"> Precoding matrix structure (</w:t>
      </w:r>
      <w:r w:rsidR="007D3CA2">
        <w:rPr>
          <w:color w:val="000000"/>
          <w:sz w:val="22"/>
          <w:szCs w:val="22"/>
          <w:lang w:eastAsia="en-GB"/>
        </w:rPr>
        <w:t>1</w:t>
      </w:r>
      <w:r w:rsidR="00C157C6">
        <w:rPr>
          <w:color w:val="000000"/>
          <w:sz w:val="22"/>
          <w:szCs w:val="22"/>
          <w:lang w:eastAsia="en-GB"/>
        </w:rPr>
        <w:t>) is schematically represented in figure 1.</w:t>
      </w:r>
    </w:p>
    <w:p w14:paraId="015CCC1C" w14:textId="77777777" w:rsidR="00C157C6" w:rsidRDefault="00597FE6" w:rsidP="00C157C6">
      <w:pPr>
        <w:pStyle w:val="N3"/>
        <w:tabs>
          <w:tab w:val="left" w:pos="1843"/>
          <w:tab w:val="left" w:pos="4820"/>
          <w:tab w:val="left" w:pos="9072"/>
        </w:tabs>
        <w:jc w:val="center"/>
      </w:pPr>
      <w:r>
        <w:object w:dxaOrig="10335" w:dyaOrig="4320" w14:anchorId="58C7BAF9">
          <v:shape id="_x0000_i1026" type="#_x0000_t75" style="width:406.5pt;height:169.5pt" o:ole="">
            <v:imagedata r:id="rId13" o:title=""/>
          </v:shape>
          <o:OLEObject Type="Embed" ProgID="Visio.Drawing.15" ShapeID="_x0000_i1026" DrawAspect="Content" ObjectID="_1603196170" r:id="rId14"/>
        </w:object>
      </w:r>
    </w:p>
    <w:p w14:paraId="600F05FE" w14:textId="73177820" w:rsidR="00C157C6" w:rsidRPr="00B9063D" w:rsidRDefault="00C157C6" w:rsidP="00B9063D">
      <w:pPr>
        <w:pStyle w:val="N3"/>
        <w:tabs>
          <w:tab w:val="left" w:pos="1843"/>
          <w:tab w:val="left" w:pos="4820"/>
          <w:tab w:val="left" w:pos="9072"/>
        </w:tabs>
        <w:spacing w:before="240" w:after="240"/>
        <w:jc w:val="center"/>
        <w:rPr>
          <w:rFonts w:ascii="Times New Roman" w:hAnsi="Times New Roman" w:cs="Times New Roman"/>
        </w:rPr>
      </w:pPr>
      <w:r w:rsidRPr="00B9063D">
        <w:rPr>
          <w:rFonts w:ascii="Times New Roman" w:hAnsi="Times New Roman" w:cs="Times New Roman"/>
          <w:b/>
        </w:rPr>
        <w:t>Figure 1.</w:t>
      </w:r>
      <w:r w:rsidRPr="00B9063D">
        <w:rPr>
          <w:rFonts w:ascii="Times New Roman" w:hAnsi="Times New Roman" w:cs="Times New Roman"/>
        </w:rPr>
        <w:t xml:space="preserve"> Dual stage structure of precoding matrix</w:t>
      </w:r>
    </w:p>
    <w:p w14:paraId="39E5838C" w14:textId="48803A22" w:rsidR="00C157C6" w:rsidRPr="00C157C6" w:rsidRDefault="008A74F4" w:rsidP="00401594">
      <w:pPr>
        <w:tabs>
          <w:tab w:val="left" w:pos="4395"/>
          <w:tab w:val="left" w:pos="9781"/>
        </w:tabs>
        <w:jc w:val="both"/>
        <w:rPr>
          <w:color w:val="000000"/>
          <w:sz w:val="22"/>
          <w:szCs w:val="22"/>
          <w:lang w:val="en-US" w:eastAsia="en-GB"/>
        </w:rPr>
      </w:pPr>
      <w:r>
        <w:rPr>
          <w:color w:val="000000"/>
          <w:sz w:val="22"/>
          <w:szCs w:val="22"/>
          <w:lang w:val="en-US" w:eastAsia="en-GB"/>
        </w:rPr>
        <w:t xml:space="preserve">Alternatively, precoding matrix </w:t>
      </w:r>
      <w:r w:rsidR="009B0160">
        <w:rPr>
          <w:sz w:val="22"/>
          <w:lang w:eastAsia="ko-KR"/>
        </w:rPr>
        <w:t xml:space="preserve">of Type II NR codebook can be represented </w:t>
      </w:r>
      <w:r w:rsidR="00986BDF">
        <w:rPr>
          <w:sz w:val="22"/>
          <w:lang w:eastAsia="ko-KR"/>
        </w:rPr>
        <w:t xml:space="preserve">in different form (2). </w:t>
      </w:r>
    </w:p>
    <w:p w14:paraId="5B9D886A" w14:textId="77777777" w:rsidR="00E977D2" w:rsidRDefault="00986BDF" w:rsidP="00E977D2">
      <w:pPr>
        <w:tabs>
          <w:tab w:val="left" w:pos="4536"/>
          <w:tab w:val="left" w:pos="9781"/>
        </w:tabs>
        <w:jc w:val="both"/>
        <w:rPr>
          <w:color w:val="000000"/>
          <w:sz w:val="22"/>
          <w:szCs w:val="22"/>
          <w:lang w:eastAsia="en-GB"/>
        </w:rPr>
      </w:pPr>
      <w:r w:rsidRPr="00401594">
        <w:rPr>
          <w:color w:val="000000"/>
          <w:sz w:val="22"/>
          <w:szCs w:val="22"/>
          <w:lang w:eastAsia="en-GB"/>
        </w:rPr>
        <w:tab/>
      </w:r>
      <w:r w:rsidRPr="00401594">
        <w:rPr>
          <w:color w:val="000000"/>
          <w:position w:val="-10"/>
          <w:sz w:val="22"/>
          <w:szCs w:val="22"/>
          <w:lang w:eastAsia="en-GB"/>
        </w:rPr>
        <w:object w:dxaOrig="1540" w:dyaOrig="320" w14:anchorId="26D3BCE0">
          <v:shape id="_x0000_i1027" type="#_x0000_t75" style="width:77.25pt;height:16.5pt" o:ole="">
            <v:imagedata r:id="rId15" o:title=""/>
          </v:shape>
          <o:OLEObject Type="Embed" ProgID="Equation.DSMT4" ShapeID="_x0000_i1027" DrawAspect="Content" ObjectID="_1603196171" r:id="rId16"/>
        </w:object>
      </w:r>
      <w:r w:rsidRPr="00401594">
        <w:rPr>
          <w:color w:val="000000"/>
          <w:sz w:val="22"/>
          <w:szCs w:val="22"/>
          <w:lang w:eastAsia="en-GB"/>
        </w:rPr>
        <w:t>,</w:t>
      </w:r>
      <w:r w:rsidRPr="00401594">
        <w:rPr>
          <w:color w:val="000000"/>
          <w:sz w:val="22"/>
          <w:szCs w:val="22"/>
          <w:lang w:eastAsia="en-GB"/>
        </w:rPr>
        <w:tab/>
        <w:t>(</w:t>
      </w:r>
      <w:r w:rsidR="00E977D2">
        <w:rPr>
          <w:color w:val="000000"/>
          <w:sz w:val="22"/>
          <w:szCs w:val="22"/>
          <w:lang w:eastAsia="en-GB"/>
        </w:rPr>
        <w:t>2</w:t>
      </w:r>
      <w:r w:rsidRPr="00401594">
        <w:rPr>
          <w:color w:val="000000"/>
          <w:sz w:val="22"/>
          <w:szCs w:val="22"/>
          <w:lang w:eastAsia="en-GB"/>
        </w:rPr>
        <w:t>)</w:t>
      </w:r>
    </w:p>
    <w:p w14:paraId="17708FB6" w14:textId="69675E61" w:rsidR="007D3CA2" w:rsidRDefault="00E977D2" w:rsidP="007D3CA2">
      <w:pPr>
        <w:tabs>
          <w:tab w:val="left" w:pos="4395"/>
          <w:tab w:val="left" w:pos="9781"/>
        </w:tabs>
        <w:jc w:val="both"/>
        <w:rPr>
          <w:color w:val="000000"/>
          <w:sz w:val="22"/>
          <w:szCs w:val="22"/>
          <w:lang w:eastAsia="en-GB"/>
        </w:rPr>
      </w:pPr>
      <w:r w:rsidRPr="007D3CA2">
        <w:rPr>
          <w:b/>
          <w:color w:val="000000"/>
          <w:sz w:val="22"/>
          <w:szCs w:val="22"/>
          <w:lang w:eastAsia="en-GB"/>
        </w:rPr>
        <w:t>Y</w:t>
      </w:r>
      <w:r w:rsidRPr="007D3CA2">
        <w:rPr>
          <w:color w:val="000000"/>
          <w:sz w:val="22"/>
          <w:szCs w:val="22"/>
          <w:lang w:eastAsia="en-GB"/>
        </w:rPr>
        <w:t>(</w:t>
      </w:r>
      <w:r w:rsidRPr="007D3CA2">
        <w:rPr>
          <w:i/>
          <w:color w:val="000000"/>
          <w:sz w:val="22"/>
          <w:szCs w:val="22"/>
          <w:lang w:eastAsia="en-GB"/>
        </w:rPr>
        <w:t>l</w:t>
      </w:r>
      <w:r w:rsidRPr="007D3CA2">
        <w:rPr>
          <w:color w:val="000000"/>
          <w:sz w:val="22"/>
          <w:szCs w:val="22"/>
          <w:lang w:eastAsia="en-GB"/>
        </w:rPr>
        <w:t xml:space="preserve">) </w:t>
      </w:r>
      <w:r w:rsidR="008F1313">
        <w:rPr>
          <w:color w:val="000000"/>
          <w:sz w:val="22"/>
          <w:szCs w:val="22"/>
          <w:lang w:eastAsia="en-GB"/>
        </w:rPr>
        <w:t xml:space="preserve">is </w:t>
      </w:r>
      <w:r w:rsidR="008F1313" w:rsidRPr="007D3CA2">
        <w:rPr>
          <w:i/>
          <w:color w:val="000000"/>
          <w:sz w:val="22"/>
          <w:szCs w:val="22"/>
          <w:lang w:eastAsia="en-GB"/>
        </w:rPr>
        <w:t>N</w:t>
      </w:r>
      <w:r w:rsidR="008F1313" w:rsidRPr="007D3CA2">
        <w:rPr>
          <w:i/>
          <w:color w:val="000000"/>
          <w:sz w:val="22"/>
          <w:szCs w:val="22"/>
          <w:vertAlign w:val="subscript"/>
          <w:lang w:eastAsia="en-GB"/>
        </w:rPr>
        <w:t>TX</w:t>
      </w:r>
      <w:r w:rsidR="008F1313">
        <w:rPr>
          <w:color w:val="000000"/>
          <w:sz w:val="22"/>
          <w:szCs w:val="22"/>
          <w:lang w:eastAsia="en-GB"/>
        </w:rPr>
        <w:t> </w:t>
      </w:r>
      <w:r w:rsidR="008F1313" w:rsidRPr="007D3CA2">
        <w:rPr>
          <w:color w:val="000000"/>
          <w:sz w:val="22"/>
          <w:szCs w:val="22"/>
          <w:lang w:eastAsia="en-GB"/>
        </w:rPr>
        <w:t>×</w:t>
      </w:r>
      <w:r w:rsidR="008F1313">
        <w:rPr>
          <w:color w:val="000000"/>
          <w:sz w:val="22"/>
          <w:szCs w:val="22"/>
          <w:lang w:eastAsia="en-GB"/>
        </w:rPr>
        <w:t> </w:t>
      </w:r>
      <w:r w:rsidR="008F1313" w:rsidRPr="007D3CA2">
        <w:rPr>
          <w:i/>
          <w:color w:val="000000"/>
          <w:sz w:val="22"/>
          <w:szCs w:val="22"/>
          <w:lang w:eastAsia="en-GB"/>
        </w:rPr>
        <w:t>N</w:t>
      </w:r>
      <w:r w:rsidR="008F1313" w:rsidRPr="008F1313">
        <w:rPr>
          <w:color w:val="000000"/>
          <w:sz w:val="22"/>
          <w:szCs w:val="22"/>
          <w:lang w:eastAsia="en-GB"/>
        </w:rPr>
        <w:t xml:space="preserve"> matrix</w:t>
      </w:r>
      <w:r w:rsidR="008F1313">
        <w:rPr>
          <w:color w:val="000000"/>
          <w:sz w:val="22"/>
          <w:szCs w:val="22"/>
          <w:lang w:eastAsia="en-GB"/>
        </w:rPr>
        <w:t xml:space="preserve">, </w:t>
      </w:r>
      <w:r w:rsidR="008F1313" w:rsidRPr="007D3CA2">
        <w:rPr>
          <w:color w:val="000000"/>
          <w:sz w:val="22"/>
          <w:szCs w:val="22"/>
          <w:lang w:eastAsia="en-GB"/>
        </w:rPr>
        <w:t xml:space="preserve">column </w:t>
      </w:r>
      <w:r w:rsidR="008F1313" w:rsidRPr="007D3CA2">
        <w:rPr>
          <w:i/>
          <w:color w:val="000000"/>
          <w:sz w:val="22"/>
          <w:szCs w:val="22"/>
          <w:lang w:eastAsia="en-GB"/>
        </w:rPr>
        <w:t>k</w:t>
      </w:r>
      <w:r w:rsidR="008F1313" w:rsidRPr="007D3CA2">
        <w:rPr>
          <w:color w:val="000000"/>
          <w:sz w:val="22"/>
          <w:szCs w:val="22"/>
          <w:lang w:eastAsia="en-GB"/>
        </w:rPr>
        <w:t xml:space="preserve"> of </w:t>
      </w:r>
      <w:r w:rsidR="008F1313" w:rsidRPr="007D3CA2">
        <w:rPr>
          <w:b/>
          <w:color w:val="000000"/>
          <w:sz w:val="22"/>
          <w:szCs w:val="22"/>
          <w:lang w:eastAsia="en-GB"/>
        </w:rPr>
        <w:t>Y</w:t>
      </w:r>
      <w:r w:rsidR="008F1313" w:rsidRPr="007D3CA2">
        <w:rPr>
          <w:color w:val="000000"/>
          <w:sz w:val="22"/>
          <w:szCs w:val="22"/>
          <w:lang w:eastAsia="en-GB"/>
        </w:rPr>
        <w:t>(</w:t>
      </w:r>
      <w:r w:rsidR="008F1313" w:rsidRPr="007D3CA2">
        <w:rPr>
          <w:i/>
          <w:color w:val="000000"/>
          <w:sz w:val="22"/>
          <w:szCs w:val="22"/>
          <w:lang w:eastAsia="en-GB"/>
        </w:rPr>
        <w:t>l</w:t>
      </w:r>
      <w:r w:rsidR="008F1313">
        <w:rPr>
          <w:color w:val="000000"/>
          <w:sz w:val="22"/>
          <w:szCs w:val="22"/>
          <w:lang w:eastAsia="en-GB"/>
        </w:rPr>
        <w:t>) corresponds</w:t>
      </w:r>
      <w:r w:rsidRPr="007D3CA2">
        <w:rPr>
          <w:color w:val="000000"/>
          <w:sz w:val="22"/>
          <w:szCs w:val="22"/>
          <w:lang w:eastAsia="en-GB"/>
        </w:rPr>
        <w:t xml:space="preserve"> to</w:t>
      </w:r>
      <w:r w:rsidR="008F1313">
        <w:rPr>
          <w:color w:val="000000"/>
          <w:sz w:val="22"/>
          <w:szCs w:val="22"/>
          <w:lang w:eastAsia="en-GB"/>
        </w:rPr>
        <w:t xml:space="preserve"> spatial</w:t>
      </w:r>
      <w:r w:rsidRPr="007D3CA2">
        <w:rPr>
          <w:color w:val="000000"/>
          <w:sz w:val="22"/>
          <w:szCs w:val="22"/>
          <w:lang w:eastAsia="en-GB"/>
        </w:rPr>
        <w:t xml:space="preserve"> layer </w:t>
      </w:r>
      <w:r w:rsidRPr="007D3CA2">
        <w:rPr>
          <w:i/>
          <w:color w:val="000000"/>
          <w:sz w:val="22"/>
          <w:szCs w:val="22"/>
          <w:lang w:eastAsia="en-GB"/>
        </w:rPr>
        <w:t>l</w:t>
      </w:r>
      <w:r w:rsidRPr="007D3CA2">
        <w:rPr>
          <w:color w:val="000000"/>
          <w:sz w:val="22"/>
          <w:szCs w:val="22"/>
          <w:lang w:eastAsia="en-GB"/>
        </w:rPr>
        <w:t xml:space="preserve"> of precoding matrix for </w:t>
      </w:r>
      <w:r w:rsidR="004B5E19">
        <w:rPr>
          <w:color w:val="000000"/>
          <w:sz w:val="22"/>
          <w:szCs w:val="22"/>
          <w:lang w:eastAsia="en-GB"/>
        </w:rPr>
        <w:t>frequency resource</w:t>
      </w:r>
      <w:r w:rsidRPr="007D3CA2">
        <w:rPr>
          <w:color w:val="000000"/>
          <w:sz w:val="22"/>
          <w:szCs w:val="22"/>
          <w:lang w:eastAsia="en-GB"/>
        </w:rPr>
        <w:t xml:space="preserve"> </w:t>
      </w:r>
      <w:r w:rsidRPr="007D3CA2">
        <w:rPr>
          <w:i/>
          <w:color w:val="000000"/>
          <w:sz w:val="22"/>
          <w:szCs w:val="22"/>
          <w:lang w:eastAsia="en-GB"/>
        </w:rPr>
        <w:t>k</w:t>
      </w:r>
      <w:r w:rsidRPr="007D3CA2">
        <w:rPr>
          <w:color w:val="000000"/>
          <w:sz w:val="22"/>
          <w:szCs w:val="22"/>
          <w:lang w:eastAsia="en-GB"/>
        </w:rPr>
        <w:t xml:space="preserve">, </w:t>
      </w:r>
      <w:r w:rsidRPr="007D3CA2">
        <w:rPr>
          <w:b/>
          <w:color w:val="000000"/>
          <w:sz w:val="22"/>
          <w:szCs w:val="22"/>
          <w:lang w:eastAsia="en-GB"/>
        </w:rPr>
        <w:t>Y</w:t>
      </w:r>
      <w:r w:rsidRPr="007D3CA2">
        <w:rPr>
          <w:color w:val="000000"/>
          <w:sz w:val="22"/>
          <w:szCs w:val="22"/>
          <w:vertAlign w:val="subscript"/>
          <w:lang w:eastAsia="en-GB"/>
        </w:rPr>
        <w:t>2</w:t>
      </w:r>
      <w:r w:rsidRPr="007D3CA2">
        <w:rPr>
          <w:color w:val="000000"/>
          <w:sz w:val="22"/>
          <w:szCs w:val="22"/>
          <w:lang w:eastAsia="en-GB"/>
        </w:rPr>
        <w:t>(</w:t>
      </w:r>
      <w:r w:rsidRPr="007D3CA2">
        <w:rPr>
          <w:i/>
          <w:color w:val="000000"/>
          <w:sz w:val="22"/>
          <w:szCs w:val="22"/>
          <w:lang w:eastAsia="en-GB"/>
        </w:rPr>
        <w:t>l</w:t>
      </w:r>
      <w:r w:rsidRPr="007D3CA2">
        <w:rPr>
          <w:color w:val="000000"/>
          <w:sz w:val="22"/>
          <w:szCs w:val="22"/>
          <w:lang w:eastAsia="en-GB"/>
        </w:rPr>
        <w:t>) is</w:t>
      </w:r>
      <w:r w:rsidR="00203862">
        <w:rPr>
          <w:color w:val="000000"/>
          <w:sz w:val="22"/>
          <w:szCs w:val="22"/>
          <w:lang w:eastAsia="en-GB"/>
        </w:rPr>
        <w:t xml:space="preserve"> </w:t>
      </w:r>
      <w:r w:rsidR="00203862" w:rsidRPr="007D3CA2">
        <w:rPr>
          <w:color w:val="000000"/>
          <w:sz w:val="22"/>
          <w:szCs w:val="22"/>
          <w:lang w:eastAsia="en-GB"/>
        </w:rPr>
        <w:t>2</w:t>
      </w:r>
      <w:r w:rsidR="00203862" w:rsidRPr="007D3CA2">
        <w:rPr>
          <w:i/>
          <w:color w:val="000000"/>
          <w:sz w:val="22"/>
          <w:szCs w:val="22"/>
          <w:lang w:eastAsia="en-GB"/>
        </w:rPr>
        <w:t>L</w:t>
      </w:r>
      <w:r w:rsidR="00203862" w:rsidRPr="007D3CA2">
        <w:rPr>
          <w:color w:val="000000"/>
          <w:sz w:val="22"/>
          <w:szCs w:val="22"/>
          <w:lang w:eastAsia="en-GB"/>
        </w:rPr>
        <w:t> × </w:t>
      </w:r>
      <w:r w:rsidR="00203862" w:rsidRPr="007D3CA2">
        <w:rPr>
          <w:i/>
          <w:color w:val="000000"/>
          <w:sz w:val="22"/>
          <w:szCs w:val="22"/>
          <w:lang w:eastAsia="en-GB"/>
        </w:rPr>
        <w:t>N</w:t>
      </w:r>
      <w:r w:rsidRPr="007D3CA2">
        <w:rPr>
          <w:color w:val="000000"/>
          <w:sz w:val="22"/>
          <w:szCs w:val="22"/>
          <w:lang w:eastAsia="en-GB"/>
        </w:rPr>
        <w:t xml:space="preserve"> matrix</w:t>
      </w:r>
      <w:r w:rsidR="002354A9">
        <w:rPr>
          <w:color w:val="000000"/>
          <w:sz w:val="22"/>
          <w:szCs w:val="22"/>
          <w:lang w:eastAsia="en-GB"/>
        </w:rPr>
        <w:t xml:space="preserve"> of beam combining coefficients</w:t>
      </w:r>
      <w:r w:rsidRPr="007D3CA2">
        <w:rPr>
          <w:color w:val="000000"/>
          <w:sz w:val="22"/>
          <w:szCs w:val="22"/>
          <w:lang w:eastAsia="en-GB"/>
        </w:rPr>
        <w:t xml:space="preserve"> for spatial layer </w:t>
      </w:r>
      <w:r w:rsidRPr="007D3CA2">
        <w:rPr>
          <w:i/>
          <w:color w:val="000000"/>
          <w:sz w:val="22"/>
          <w:szCs w:val="22"/>
          <w:lang w:eastAsia="en-GB"/>
        </w:rPr>
        <w:t>l</w:t>
      </w:r>
      <w:r w:rsidRPr="007D3CA2">
        <w:rPr>
          <w:color w:val="000000"/>
          <w:sz w:val="22"/>
          <w:szCs w:val="22"/>
          <w:lang w:eastAsia="en-GB"/>
        </w:rPr>
        <w:t>.</w:t>
      </w:r>
      <w:r w:rsidR="00F4018C">
        <w:rPr>
          <w:color w:val="000000"/>
          <w:sz w:val="22"/>
          <w:szCs w:val="22"/>
          <w:lang w:eastAsia="en-GB"/>
        </w:rPr>
        <w:t xml:space="preserve"> </w:t>
      </w:r>
      <w:r w:rsidR="007D3CA2">
        <w:rPr>
          <w:color w:val="000000"/>
          <w:sz w:val="22"/>
          <w:szCs w:val="22"/>
          <w:lang w:eastAsia="en-GB"/>
        </w:rPr>
        <w:t>Precoding matrix structure (2) is schematically represented in figure 2.</w:t>
      </w:r>
    </w:p>
    <w:p w14:paraId="132C5FC5" w14:textId="77777777" w:rsidR="0048442E" w:rsidRDefault="00C0548B" w:rsidP="0048442E">
      <w:pPr>
        <w:pStyle w:val="N3"/>
        <w:tabs>
          <w:tab w:val="left" w:pos="1843"/>
          <w:tab w:val="left" w:pos="4820"/>
          <w:tab w:val="left" w:pos="9072"/>
        </w:tabs>
        <w:jc w:val="center"/>
      </w:pPr>
      <w:r>
        <w:object w:dxaOrig="10185" w:dyaOrig="4320" w14:anchorId="282E4C28">
          <v:shape id="_x0000_i1028" type="#_x0000_t75" style="width:416.25pt;height:176.25pt" o:ole="">
            <v:imagedata r:id="rId17" o:title=""/>
          </v:shape>
          <o:OLEObject Type="Embed" ProgID="Visio.Drawing.15" ShapeID="_x0000_i1028" DrawAspect="Content" ObjectID="_1603196172" r:id="rId18"/>
        </w:object>
      </w:r>
    </w:p>
    <w:p w14:paraId="2862B5C0" w14:textId="77777777" w:rsidR="0048442E" w:rsidRPr="0048442E" w:rsidRDefault="0048442E" w:rsidP="0048442E">
      <w:pPr>
        <w:pStyle w:val="N3"/>
        <w:tabs>
          <w:tab w:val="left" w:pos="1843"/>
          <w:tab w:val="left" w:pos="4820"/>
          <w:tab w:val="left" w:pos="9072"/>
        </w:tabs>
        <w:spacing w:before="240" w:after="240"/>
        <w:jc w:val="center"/>
        <w:rPr>
          <w:rFonts w:ascii="Times New Roman" w:hAnsi="Times New Roman" w:cs="Times New Roman"/>
          <w:color w:val="000000"/>
          <w:lang w:val="en-GB" w:eastAsia="en-GB"/>
        </w:rPr>
      </w:pPr>
      <w:r w:rsidRPr="001D66A4">
        <w:rPr>
          <w:rFonts w:ascii="Times New Roman" w:hAnsi="Times New Roman" w:cs="Times New Roman"/>
          <w:b/>
          <w:color w:val="000000"/>
          <w:lang w:val="en-GB" w:eastAsia="en-GB"/>
        </w:rPr>
        <w:t>Figure 2.</w:t>
      </w:r>
      <w:r w:rsidRPr="0048442E">
        <w:rPr>
          <w:rFonts w:ascii="Times New Roman" w:hAnsi="Times New Roman" w:cs="Times New Roman"/>
          <w:color w:val="000000"/>
          <w:lang w:val="en-GB" w:eastAsia="en-GB"/>
        </w:rPr>
        <w:t xml:space="preserve"> Representation of precoding matrix using space-frequency matrix</w:t>
      </w:r>
    </w:p>
    <w:p w14:paraId="100F89D3" w14:textId="7ED257D5" w:rsidR="00E977D2" w:rsidRPr="00B347E4" w:rsidRDefault="00F61B5D" w:rsidP="00E977D2">
      <w:pPr>
        <w:tabs>
          <w:tab w:val="left" w:pos="4536"/>
          <w:tab w:val="left" w:pos="9781"/>
        </w:tabs>
        <w:jc w:val="both"/>
        <w:rPr>
          <w:color w:val="000000"/>
          <w:sz w:val="22"/>
          <w:szCs w:val="22"/>
          <w:lang w:val="en-US" w:eastAsia="en-GB"/>
        </w:rPr>
      </w:pPr>
      <w:r>
        <w:rPr>
          <w:color w:val="000000"/>
          <w:sz w:val="22"/>
          <w:szCs w:val="22"/>
          <w:lang w:eastAsia="en-GB"/>
        </w:rPr>
        <w:t>Matrix which contains beam combining coefficients for</w:t>
      </w:r>
      <w:r w:rsidR="00AD44C7">
        <w:rPr>
          <w:color w:val="000000"/>
          <w:sz w:val="22"/>
          <w:szCs w:val="22"/>
          <w:lang w:eastAsia="en-GB"/>
        </w:rPr>
        <w:t xml:space="preserve"> a</w:t>
      </w:r>
      <w:r>
        <w:rPr>
          <w:color w:val="000000"/>
          <w:sz w:val="22"/>
          <w:szCs w:val="22"/>
          <w:lang w:eastAsia="en-GB"/>
        </w:rPr>
        <w:t xml:space="preserve"> set of frequency resources</w:t>
      </w:r>
      <w:r w:rsidR="00AD44C7">
        <w:rPr>
          <w:color w:val="000000"/>
          <w:sz w:val="22"/>
          <w:szCs w:val="22"/>
          <w:lang w:eastAsia="en-GB"/>
        </w:rPr>
        <w:t xml:space="preserve"> </w:t>
      </w:r>
      <w:r w:rsidRPr="00F61B5D">
        <w:rPr>
          <w:b/>
          <w:color w:val="000000"/>
          <w:sz w:val="22"/>
          <w:szCs w:val="22"/>
          <w:lang w:eastAsia="en-GB"/>
        </w:rPr>
        <w:t>Y</w:t>
      </w:r>
      <w:r w:rsidRPr="00F61B5D">
        <w:rPr>
          <w:color w:val="000000"/>
          <w:sz w:val="22"/>
          <w:szCs w:val="22"/>
          <w:vertAlign w:val="subscript"/>
          <w:lang w:eastAsia="en-GB"/>
        </w:rPr>
        <w:t>2</w:t>
      </w:r>
      <w:r w:rsidR="00344291">
        <w:rPr>
          <w:color w:val="000000"/>
          <w:sz w:val="22"/>
          <w:szCs w:val="22"/>
          <w:lang w:eastAsia="en-GB"/>
        </w:rPr>
        <w:t>(</w:t>
      </w:r>
      <w:r w:rsidR="00344291" w:rsidRPr="00344291">
        <w:rPr>
          <w:i/>
          <w:color w:val="000000"/>
          <w:sz w:val="22"/>
          <w:szCs w:val="22"/>
          <w:lang w:eastAsia="en-GB"/>
        </w:rPr>
        <w:t>l</w:t>
      </w:r>
      <w:r w:rsidR="00344291">
        <w:rPr>
          <w:color w:val="000000"/>
          <w:sz w:val="22"/>
          <w:szCs w:val="22"/>
          <w:lang w:eastAsia="en-GB"/>
        </w:rPr>
        <w:t>)</w:t>
      </w:r>
      <w:r>
        <w:rPr>
          <w:color w:val="000000"/>
          <w:sz w:val="22"/>
          <w:szCs w:val="22"/>
          <w:lang w:eastAsia="en-GB"/>
        </w:rPr>
        <w:t xml:space="preserve"> can be </w:t>
      </w:r>
      <w:r w:rsidR="00EA189F">
        <w:rPr>
          <w:color w:val="000000"/>
          <w:sz w:val="22"/>
          <w:szCs w:val="22"/>
          <w:lang w:eastAsia="en-GB"/>
        </w:rPr>
        <w:t>defined</w:t>
      </w:r>
      <w:r>
        <w:rPr>
          <w:color w:val="000000"/>
          <w:sz w:val="22"/>
          <w:szCs w:val="22"/>
          <w:lang w:eastAsia="en-GB"/>
        </w:rPr>
        <w:t xml:space="preserve"> as space-frequency matrix. </w:t>
      </w:r>
      <w:r w:rsidR="00B347E4">
        <w:rPr>
          <w:color w:val="000000"/>
          <w:sz w:val="22"/>
          <w:szCs w:val="22"/>
          <w:lang w:eastAsia="en-GB"/>
        </w:rPr>
        <w:t xml:space="preserve">In our view </w:t>
      </w:r>
      <w:r w:rsidR="00B347E4" w:rsidRPr="00B347E4">
        <w:rPr>
          <w:color w:val="000000"/>
          <w:sz w:val="22"/>
          <w:szCs w:val="22"/>
          <w:lang w:eastAsia="en-GB"/>
        </w:rPr>
        <w:t>frequency domain compression</w:t>
      </w:r>
      <w:r w:rsidR="00B347E4">
        <w:rPr>
          <w:color w:val="000000"/>
          <w:sz w:val="22"/>
          <w:szCs w:val="22"/>
          <w:lang w:eastAsia="en-GB"/>
        </w:rPr>
        <w:t xml:space="preserve"> schemes</w:t>
      </w:r>
      <w:r w:rsidR="00B347E4" w:rsidRPr="00B347E4">
        <w:rPr>
          <w:color w:val="000000"/>
          <w:sz w:val="22"/>
          <w:szCs w:val="22"/>
          <w:lang w:eastAsia="en-GB"/>
        </w:rPr>
        <w:t xml:space="preserve"> and time domain compression</w:t>
      </w:r>
      <w:r w:rsidR="00B347E4">
        <w:rPr>
          <w:color w:val="000000"/>
          <w:sz w:val="22"/>
          <w:szCs w:val="22"/>
          <w:lang w:eastAsia="en-GB"/>
        </w:rPr>
        <w:t xml:space="preserve"> schemes proposed by many companies at the previous RAN1 meeting [2,</w:t>
      </w:r>
      <w:r w:rsidR="00AA5A72">
        <w:rPr>
          <w:color w:val="000000"/>
          <w:sz w:val="22"/>
          <w:szCs w:val="22"/>
          <w:lang w:eastAsia="en-GB"/>
        </w:rPr>
        <w:t xml:space="preserve"> </w:t>
      </w:r>
      <w:r w:rsidR="00B347E4">
        <w:rPr>
          <w:color w:val="000000"/>
          <w:sz w:val="22"/>
          <w:szCs w:val="22"/>
          <w:lang w:eastAsia="en-GB"/>
        </w:rPr>
        <w:t xml:space="preserve">3] </w:t>
      </w:r>
      <w:r w:rsidR="00972732">
        <w:rPr>
          <w:color w:val="000000"/>
          <w:sz w:val="22"/>
          <w:szCs w:val="22"/>
          <w:lang w:val="en-US" w:eastAsia="en-GB"/>
        </w:rPr>
        <w:t>represent</w:t>
      </w:r>
      <w:r w:rsidR="00B347E4">
        <w:rPr>
          <w:color w:val="000000"/>
          <w:sz w:val="22"/>
          <w:szCs w:val="22"/>
          <w:lang w:val="en-US" w:eastAsia="en-GB"/>
        </w:rPr>
        <w:t xml:space="preserve"> different approaches of</w:t>
      </w:r>
      <w:r w:rsidR="00AD44C7">
        <w:rPr>
          <w:color w:val="000000"/>
          <w:sz w:val="22"/>
          <w:szCs w:val="22"/>
          <w:lang w:val="en-US" w:eastAsia="en-GB"/>
        </w:rPr>
        <w:t xml:space="preserve"> space-frequency matrix</w:t>
      </w:r>
      <w:r w:rsidR="00B347E4">
        <w:rPr>
          <w:color w:val="000000"/>
          <w:sz w:val="22"/>
          <w:szCs w:val="22"/>
          <w:lang w:val="en-US" w:eastAsia="en-GB"/>
        </w:rPr>
        <w:t xml:space="preserve"> </w:t>
      </w:r>
      <w:r w:rsidR="00AD44C7">
        <w:rPr>
          <w:color w:val="000000"/>
          <w:sz w:val="22"/>
          <w:szCs w:val="22"/>
          <w:lang w:val="en-US" w:eastAsia="en-GB"/>
        </w:rPr>
        <w:t>compression</w:t>
      </w:r>
      <w:r w:rsidR="00972732">
        <w:rPr>
          <w:color w:val="000000"/>
          <w:sz w:val="22"/>
          <w:szCs w:val="22"/>
          <w:lang w:val="en-US" w:eastAsia="en-GB"/>
        </w:rPr>
        <w:t xml:space="preserve"> and reporting</w:t>
      </w:r>
      <w:r w:rsidR="00B347E4">
        <w:rPr>
          <w:color w:val="000000"/>
          <w:sz w:val="22"/>
          <w:szCs w:val="22"/>
          <w:lang w:val="en-US" w:eastAsia="en-GB"/>
        </w:rPr>
        <w:t xml:space="preserve">. </w:t>
      </w:r>
      <w:r w:rsidR="0070076D">
        <w:rPr>
          <w:color w:val="000000"/>
          <w:sz w:val="22"/>
          <w:szCs w:val="22"/>
          <w:lang w:val="en-US" w:eastAsia="en-GB"/>
        </w:rPr>
        <w:t>For example, time domain compression is based on</w:t>
      </w:r>
      <w:r w:rsidR="00C71F92">
        <w:rPr>
          <w:color w:val="000000"/>
          <w:sz w:val="22"/>
          <w:szCs w:val="22"/>
          <w:lang w:val="en-US" w:eastAsia="en-GB"/>
        </w:rPr>
        <w:t xml:space="preserve"> discrete Fourier transform</w:t>
      </w:r>
      <w:r w:rsidR="0070076D">
        <w:rPr>
          <w:color w:val="000000"/>
          <w:sz w:val="22"/>
          <w:szCs w:val="22"/>
          <w:lang w:val="en-US" w:eastAsia="en-GB"/>
        </w:rPr>
        <w:t xml:space="preserve"> </w:t>
      </w:r>
      <w:r w:rsidR="00C71F92">
        <w:rPr>
          <w:color w:val="000000"/>
          <w:sz w:val="22"/>
          <w:szCs w:val="22"/>
          <w:lang w:val="en-US" w:eastAsia="en-GB"/>
        </w:rPr>
        <w:t>(</w:t>
      </w:r>
      <w:r w:rsidR="0070076D">
        <w:rPr>
          <w:color w:val="000000"/>
          <w:sz w:val="22"/>
          <w:szCs w:val="22"/>
          <w:lang w:val="en-US" w:eastAsia="en-GB"/>
        </w:rPr>
        <w:t>DFT</w:t>
      </w:r>
      <w:r w:rsidR="00C71F92">
        <w:rPr>
          <w:color w:val="000000"/>
          <w:sz w:val="22"/>
          <w:szCs w:val="22"/>
          <w:lang w:val="en-US" w:eastAsia="en-GB"/>
        </w:rPr>
        <w:t>)</w:t>
      </w:r>
      <w:r w:rsidR="0070076D">
        <w:rPr>
          <w:color w:val="000000"/>
          <w:sz w:val="22"/>
          <w:szCs w:val="22"/>
          <w:lang w:val="en-US" w:eastAsia="en-GB"/>
        </w:rPr>
        <w:t xml:space="preserve"> of space-frequency matrix; frequency domain compression </w:t>
      </w:r>
      <w:r w:rsidR="00875A38">
        <w:rPr>
          <w:color w:val="000000"/>
          <w:sz w:val="22"/>
          <w:szCs w:val="22"/>
          <w:lang w:val="en-US" w:eastAsia="en-GB"/>
        </w:rPr>
        <w:t>schemes are based on</w:t>
      </w:r>
      <w:r w:rsidR="00BE01C3">
        <w:rPr>
          <w:color w:val="000000"/>
          <w:sz w:val="22"/>
          <w:szCs w:val="22"/>
          <w:lang w:val="en-US" w:eastAsia="en-GB"/>
        </w:rPr>
        <w:t xml:space="preserve"> SVD decomposition or a linear transformation of space-frequency matrix. </w:t>
      </w:r>
      <w:r w:rsidR="0070076D">
        <w:rPr>
          <w:color w:val="000000"/>
          <w:sz w:val="22"/>
          <w:szCs w:val="22"/>
          <w:lang w:val="en-US" w:eastAsia="en-GB"/>
        </w:rPr>
        <w:t xml:space="preserve">Thus, we propose to align definition of time domain compression and frequency domain compression by </w:t>
      </w:r>
      <w:r w:rsidR="00C67A2B">
        <w:rPr>
          <w:color w:val="000000"/>
          <w:sz w:val="22"/>
          <w:szCs w:val="22"/>
          <w:lang w:val="en-US" w:eastAsia="en-GB"/>
        </w:rPr>
        <w:t>defining</w:t>
      </w:r>
      <w:r w:rsidR="00BE01C3">
        <w:rPr>
          <w:color w:val="000000"/>
          <w:sz w:val="22"/>
          <w:szCs w:val="22"/>
          <w:lang w:val="en-US" w:eastAsia="en-GB"/>
        </w:rPr>
        <w:t xml:space="preserve"> space-frequency matrix.</w:t>
      </w:r>
    </w:p>
    <w:p w14:paraId="3684C7E4" w14:textId="63EDBDD6" w:rsidR="00401594" w:rsidRPr="00072939" w:rsidRDefault="00BE01C3" w:rsidP="00987210">
      <w:pPr>
        <w:jc w:val="both"/>
        <w:rPr>
          <w:b/>
          <w:i/>
          <w:sz w:val="22"/>
          <w:szCs w:val="22"/>
          <w:lang w:val="en-US" w:eastAsia="ko-KR"/>
        </w:rPr>
      </w:pPr>
      <w:r w:rsidRPr="00072939">
        <w:rPr>
          <w:b/>
          <w:i/>
          <w:sz w:val="22"/>
          <w:szCs w:val="22"/>
          <w:lang w:val="en-US" w:eastAsia="ko-KR"/>
        </w:rPr>
        <w:t>Proposal 1</w:t>
      </w:r>
    </w:p>
    <w:p w14:paraId="376CCC7E" w14:textId="69BB0AD7" w:rsidR="00BE01C3" w:rsidRPr="003F6583" w:rsidRDefault="009B37E9" w:rsidP="003F0E9D">
      <w:pPr>
        <w:pStyle w:val="ListParagraph"/>
        <w:numPr>
          <w:ilvl w:val="0"/>
          <w:numId w:val="45"/>
        </w:numPr>
        <w:jc w:val="both"/>
        <w:rPr>
          <w:rFonts w:ascii="Times New Roman" w:hAnsi="Times New Roman"/>
          <w:i/>
          <w:lang w:eastAsia="ko-KR"/>
        </w:rPr>
      </w:pPr>
      <w:r>
        <w:rPr>
          <w:rFonts w:ascii="Times New Roman" w:hAnsi="Times New Roman"/>
          <w:i/>
          <w:lang w:eastAsia="ko-KR"/>
        </w:rPr>
        <w:t>Study</w:t>
      </w:r>
      <w:r w:rsidR="003F0E9D" w:rsidRPr="003F6583">
        <w:rPr>
          <w:rFonts w:ascii="Times New Roman" w:hAnsi="Times New Roman"/>
          <w:i/>
          <w:lang w:eastAsia="ko-KR"/>
        </w:rPr>
        <w:t xml:space="preserve"> overhead reduction schemes based on compression of space-frequency matrix</w:t>
      </w:r>
    </w:p>
    <w:p w14:paraId="74BBA152" w14:textId="37573FE0" w:rsidR="003F0E9D" w:rsidRPr="00FD0121" w:rsidRDefault="003F0E9D" w:rsidP="003F0E9D">
      <w:pPr>
        <w:pStyle w:val="ListParagraph"/>
        <w:numPr>
          <w:ilvl w:val="1"/>
          <w:numId w:val="45"/>
        </w:numPr>
        <w:jc w:val="both"/>
        <w:rPr>
          <w:rFonts w:ascii="Times New Roman" w:hAnsi="Times New Roman"/>
          <w:i/>
          <w:lang w:eastAsia="ko-KR"/>
        </w:rPr>
      </w:pPr>
      <w:r w:rsidRPr="003F6583">
        <w:rPr>
          <w:rFonts w:ascii="Times New Roman" w:hAnsi="Times New Roman"/>
          <w:i/>
          <w:lang w:eastAsia="ko-KR"/>
        </w:rPr>
        <w:t>Space</w:t>
      </w:r>
      <w:r w:rsidR="004C3A91">
        <w:rPr>
          <w:rFonts w:ascii="Times New Roman" w:hAnsi="Times New Roman"/>
          <w:i/>
          <w:lang w:eastAsia="ko-KR"/>
        </w:rPr>
        <w:t>-</w:t>
      </w:r>
      <w:r w:rsidRPr="003F6583">
        <w:rPr>
          <w:rFonts w:ascii="Times New Roman" w:hAnsi="Times New Roman"/>
          <w:i/>
          <w:lang w:eastAsia="ko-KR"/>
        </w:rPr>
        <w:t xml:space="preserve">frequency matrix </w:t>
      </w:r>
      <w:r w:rsidR="00E84EA5" w:rsidRPr="003F6583">
        <w:rPr>
          <w:rFonts w:ascii="Times New Roman" w:hAnsi="Times New Roman"/>
          <w:i/>
          <w:color w:val="000000"/>
          <w:lang w:eastAsia="en-GB"/>
        </w:rPr>
        <w:t>contains beam combining coefficients</w:t>
      </w:r>
      <w:r w:rsidR="00E84EA5" w:rsidRPr="003F6583">
        <w:rPr>
          <w:rFonts w:ascii="Times New Roman" w:hAnsi="Times New Roman"/>
          <w:i/>
          <w:color w:val="000000"/>
          <w:lang w:val="en-GB" w:eastAsia="en-GB"/>
        </w:rPr>
        <w:t xml:space="preserve"> for a set of frequency resources for a spatial layer</w:t>
      </w:r>
    </w:p>
    <w:p w14:paraId="782EFF29" w14:textId="516A9DD3" w:rsidR="00FD0121" w:rsidRDefault="00FD0121" w:rsidP="00FD0121">
      <w:pPr>
        <w:spacing w:before="240"/>
        <w:jc w:val="both"/>
        <w:rPr>
          <w:sz w:val="22"/>
          <w:szCs w:val="22"/>
          <w:lang w:eastAsia="ko-KR"/>
        </w:rPr>
      </w:pPr>
      <w:r>
        <w:rPr>
          <w:sz w:val="22"/>
          <w:szCs w:val="22"/>
          <w:lang w:eastAsia="ko-KR"/>
        </w:rPr>
        <w:t>In order to derive beam combining coefficients</w:t>
      </w:r>
      <w:r w:rsidR="00057767">
        <w:rPr>
          <w:sz w:val="22"/>
          <w:szCs w:val="22"/>
          <w:lang w:eastAsia="ko-KR"/>
        </w:rPr>
        <w:t xml:space="preserve"> for a frequency resource</w:t>
      </w:r>
      <w:r>
        <w:rPr>
          <w:sz w:val="22"/>
          <w:szCs w:val="22"/>
          <w:lang w:eastAsia="ko-KR"/>
        </w:rPr>
        <w:t xml:space="preserve"> </w:t>
      </w:r>
      <w:r w:rsidR="002D1DD5">
        <w:rPr>
          <w:sz w:val="22"/>
          <w:szCs w:val="22"/>
          <w:lang w:eastAsia="ko-KR"/>
        </w:rPr>
        <w:t>multiple operations are required</w:t>
      </w:r>
      <w:r w:rsidR="00057767">
        <w:rPr>
          <w:sz w:val="22"/>
          <w:szCs w:val="22"/>
          <w:lang w:eastAsia="ko-KR"/>
        </w:rPr>
        <w:t xml:space="preserve"> at the UE side</w:t>
      </w:r>
      <w:r w:rsidR="002D1DD5">
        <w:rPr>
          <w:sz w:val="22"/>
          <w:szCs w:val="22"/>
          <w:lang w:eastAsia="ko-KR"/>
        </w:rPr>
        <w:t xml:space="preserve"> including channel estimation, matrix multiplication(s) and SVD decomposition. </w:t>
      </w:r>
      <w:r w:rsidR="00A20EE4">
        <w:rPr>
          <w:sz w:val="22"/>
          <w:szCs w:val="22"/>
          <w:lang w:eastAsia="ko-KR"/>
        </w:rPr>
        <w:t xml:space="preserve">For the case of Rel. 15 Type II CSI, </w:t>
      </w:r>
      <w:r w:rsidR="00057767">
        <w:rPr>
          <w:sz w:val="22"/>
          <w:szCs w:val="22"/>
          <w:lang w:eastAsia="ko-KR"/>
        </w:rPr>
        <w:t>beam combining coefficients are calculated per</w:t>
      </w:r>
      <w:r w:rsidR="00A20EE4">
        <w:rPr>
          <w:sz w:val="22"/>
          <w:szCs w:val="22"/>
          <w:lang w:eastAsia="ko-KR"/>
        </w:rPr>
        <w:t xml:space="preserve"> subband. In order to avoid increased UE complexity subband granularity should be assumed for beam combining coefficients calculation at the UE side for Rel. 16 Type II feedback overhead reduction. </w:t>
      </w:r>
      <w:r w:rsidR="0098014D">
        <w:rPr>
          <w:sz w:val="22"/>
          <w:szCs w:val="22"/>
          <w:lang w:eastAsia="ko-KR"/>
        </w:rPr>
        <w:t>Additional processing at the gNB side can be considered in order to do frequency selective precoding with higher frequency granularity.</w:t>
      </w:r>
    </w:p>
    <w:p w14:paraId="0E8EEF4F" w14:textId="5FDB23AE" w:rsidR="00A20EE4" w:rsidRPr="00072939" w:rsidRDefault="00A20EE4" w:rsidP="00A20EE4">
      <w:pPr>
        <w:jc w:val="both"/>
        <w:rPr>
          <w:b/>
          <w:i/>
          <w:sz w:val="22"/>
          <w:szCs w:val="22"/>
          <w:lang w:val="en-US" w:eastAsia="ko-KR"/>
        </w:rPr>
      </w:pPr>
      <w:r w:rsidRPr="00072939">
        <w:rPr>
          <w:b/>
          <w:i/>
          <w:sz w:val="22"/>
          <w:szCs w:val="22"/>
          <w:lang w:val="en-US" w:eastAsia="ko-KR"/>
        </w:rPr>
        <w:t xml:space="preserve">Proposal </w:t>
      </w:r>
      <w:r>
        <w:rPr>
          <w:b/>
          <w:i/>
          <w:sz w:val="22"/>
          <w:szCs w:val="22"/>
          <w:lang w:val="en-US" w:eastAsia="ko-KR"/>
        </w:rPr>
        <w:t>2</w:t>
      </w:r>
    </w:p>
    <w:p w14:paraId="2B5B5876" w14:textId="19D2DFAE" w:rsidR="00727EBC" w:rsidRDefault="003C061A" w:rsidP="007E1878">
      <w:pPr>
        <w:pStyle w:val="ListParagraph"/>
        <w:numPr>
          <w:ilvl w:val="0"/>
          <w:numId w:val="45"/>
        </w:numPr>
        <w:jc w:val="both"/>
        <w:rPr>
          <w:rFonts w:ascii="Times New Roman" w:hAnsi="Times New Roman"/>
          <w:lang w:eastAsia="ko-KR"/>
        </w:rPr>
      </w:pPr>
      <w:r>
        <w:rPr>
          <w:rFonts w:ascii="Times New Roman" w:hAnsi="Times New Roman"/>
          <w:i/>
          <w:lang w:eastAsia="ko-KR"/>
        </w:rPr>
        <w:t>Subband granularity of beam combining coefficient</w:t>
      </w:r>
      <w:r w:rsidR="00057767">
        <w:rPr>
          <w:rFonts w:ascii="Times New Roman" w:hAnsi="Times New Roman"/>
          <w:i/>
          <w:lang w:eastAsia="ko-KR"/>
        </w:rPr>
        <w:t>s at the UE side</w:t>
      </w:r>
      <w:r>
        <w:rPr>
          <w:rFonts w:ascii="Times New Roman" w:hAnsi="Times New Roman"/>
          <w:i/>
          <w:lang w:eastAsia="ko-KR"/>
        </w:rPr>
        <w:t xml:space="preserve"> </w:t>
      </w:r>
      <w:r w:rsidR="00A87AA3">
        <w:rPr>
          <w:rFonts w:ascii="Times New Roman" w:hAnsi="Times New Roman"/>
          <w:i/>
          <w:lang w:eastAsia="ko-KR"/>
        </w:rPr>
        <w:t>is</w:t>
      </w:r>
      <w:r>
        <w:rPr>
          <w:rFonts w:ascii="Times New Roman" w:hAnsi="Times New Roman"/>
          <w:i/>
          <w:lang w:eastAsia="ko-KR"/>
        </w:rPr>
        <w:t xml:space="preserve"> assumed for Type II CSI overhead reduction</w:t>
      </w:r>
      <w:r w:rsidR="008F3131" w:rsidRPr="008F3131">
        <w:rPr>
          <w:rFonts w:ascii="Times New Roman" w:hAnsi="Times New Roman"/>
          <w:i/>
          <w:lang w:eastAsia="ko-KR"/>
        </w:rPr>
        <w:t xml:space="preserve"> </w:t>
      </w:r>
    </w:p>
    <w:p w14:paraId="635DAD0A" w14:textId="7B9A5C07" w:rsidR="00727EBC" w:rsidRDefault="00727EBC" w:rsidP="00727EBC">
      <w:pPr>
        <w:spacing w:before="240"/>
        <w:jc w:val="both"/>
        <w:rPr>
          <w:sz w:val="22"/>
          <w:szCs w:val="22"/>
          <w:lang w:eastAsia="ko-KR"/>
        </w:rPr>
      </w:pPr>
      <w:r w:rsidRPr="00727EBC">
        <w:rPr>
          <w:sz w:val="22"/>
          <w:szCs w:val="22"/>
          <w:lang w:eastAsia="ko-KR"/>
        </w:rPr>
        <w:t xml:space="preserve">There are two main approaches </w:t>
      </w:r>
      <w:r>
        <w:rPr>
          <w:sz w:val="22"/>
          <w:szCs w:val="22"/>
          <w:lang w:eastAsia="ko-KR"/>
        </w:rPr>
        <w:t>of</w:t>
      </w:r>
      <w:r w:rsidR="00BD5AD2">
        <w:rPr>
          <w:sz w:val="22"/>
          <w:szCs w:val="22"/>
          <w:lang w:eastAsia="ko-KR"/>
        </w:rPr>
        <w:t xml:space="preserve"> space-frequency</w:t>
      </w:r>
      <w:r>
        <w:rPr>
          <w:sz w:val="22"/>
          <w:szCs w:val="22"/>
          <w:lang w:eastAsia="ko-KR"/>
        </w:rPr>
        <w:t xml:space="preserve"> matrix compression proposed at the last RAN1 meeting. One </w:t>
      </w:r>
      <w:r w:rsidR="00BD5AD2" w:rsidRPr="00BD5AD2">
        <w:rPr>
          <w:sz w:val="22"/>
          <w:szCs w:val="22"/>
          <w:lang w:eastAsia="ko-KR"/>
        </w:rPr>
        <w:t xml:space="preserve">approach </w:t>
      </w:r>
      <w:r w:rsidR="00BD5AD2">
        <w:rPr>
          <w:sz w:val="22"/>
          <w:szCs w:val="22"/>
          <w:lang w:eastAsia="ko-KR"/>
        </w:rPr>
        <w:t>is</w:t>
      </w:r>
      <w:r>
        <w:rPr>
          <w:sz w:val="22"/>
          <w:szCs w:val="22"/>
          <w:lang w:eastAsia="ko-KR"/>
        </w:rPr>
        <w:t xml:space="preserve"> based on SVD decomposition (e.g. [4]) and </w:t>
      </w:r>
      <w:r w:rsidR="00BD5AD2">
        <w:rPr>
          <w:sz w:val="22"/>
          <w:szCs w:val="22"/>
          <w:lang w:eastAsia="ko-KR"/>
        </w:rPr>
        <w:t>another approach</w:t>
      </w:r>
      <w:r>
        <w:rPr>
          <w:sz w:val="22"/>
          <w:szCs w:val="22"/>
          <w:lang w:eastAsia="ko-KR"/>
        </w:rPr>
        <w:t xml:space="preserve"> is based on linear transformation using </w:t>
      </w:r>
      <w:r w:rsidR="00BD5AD2">
        <w:rPr>
          <w:sz w:val="22"/>
          <w:szCs w:val="22"/>
          <w:lang w:eastAsia="ko-KR"/>
        </w:rPr>
        <w:t xml:space="preserve">a </w:t>
      </w:r>
      <w:r>
        <w:rPr>
          <w:sz w:val="22"/>
          <w:szCs w:val="22"/>
          <w:lang w:eastAsia="ko-KR"/>
        </w:rPr>
        <w:t>subset of pre-defined basis vectors</w:t>
      </w:r>
      <w:r w:rsidR="002A75E3">
        <w:rPr>
          <w:sz w:val="22"/>
          <w:szCs w:val="22"/>
          <w:lang w:eastAsia="ko-KR"/>
        </w:rPr>
        <w:t xml:space="preserve"> (e.g. [5])</w:t>
      </w:r>
      <w:r>
        <w:rPr>
          <w:sz w:val="22"/>
          <w:szCs w:val="22"/>
          <w:lang w:eastAsia="ko-KR"/>
        </w:rPr>
        <w:t xml:space="preserve">. </w:t>
      </w:r>
      <w:r w:rsidR="00947A30">
        <w:rPr>
          <w:sz w:val="22"/>
          <w:szCs w:val="22"/>
          <w:lang w:eastAsia="ko-KR"/>
        </w:rPr>
        <w:t>Matrix compression based on linear transformation allows to dramatically decrease reporting overhead by using reporting of basis vector index instead of per-element quantization of a vector. For m</w:t>
      </w:r>
      <w:r w:rsidR="00947A30" w:rsidRPr="00947A30">
        <w:rPr>
          <w:sz w:val="22"/>
          <w:szCs w:val="22"/>
          <w:lang w:eastAsia="ko-KR"/>
        </w:rPr>
        <w:t>atrix compression</w:t>
      </w:r>
      <w:r w:rsidR="00947A30">
        <w:rPr>
          <w:sz w:val="22"/>
          <w:szCs w:val="22"/>
          <w:lang w:eastAsia="ko-KR"/>
        </w:rPr>
        <w:t xml:space="preserve"> based on SVD decomposition, a subset of right-singular vectors and left-singular vectors as well as singular values </w:t>
      </w:r>
      <w:r w:rsidR="0048508F">
        <w:rPr>
          <w:sz w:val="22"/>
          <w:szCs w:val="22"/>
          <w:lang w:eastAsia="ko-KR"/>
        </w:rPr>
        <w:t>should be reported by the UE which may result in high feedback overhead</w:t>
      </w:r>
      <w:r w:rsidR="00947A30">
        <w:rPr>
          <w:sz w:val="22"/>
          <w:szCs w:val="22"/>
          <w:lang w:eastAsia="ko-KR"/>
        </w:rPr>
        <w:t>. Thus, the reporting overhead for schemes based on linear transformation is expected to be lower comparing to SVD based schemes. Considering the above, we propose to focus on matrix quantization based on linear transformation using subset of pre-defined basis vectors.</w:t>
      </w:r>
      <w:r w:rsidR="00D01364">
        <w:rPr>
          <w:sz w:val="22"/>
          <w:szCs w:val="22"/>
          <w:lang w:eastAsia="ko-KR"/>
        </w:rPr>
        <w:t xml:space="preserve"> DFT vectors can be considered for pre-defined basis.</w:t>
      </w:r>
    </w:p>
    <w:p w14:paraId="633E460A" w14:textId="55F19BC2" w:rsidR="00BD5AD2" w:rsidRPr="00BD5AD2" w:rsidRDefault="00BD5AD2" w:rsidP="00727EBC">
      <w:pPr>
        <w:spacing w:before="240"/>
        <w:jc w:val="both"/>
        <w:rPr>
          <w:b/>
          <w:i/>
          <w:sz w:val="22"/>
          <w:szCs w:val="22"/>
          <w:lang w:eastAsia="ko-KR"/>
        </w:rPr>
      </w:pPr>
      <w:r w:rsidRPr="00BD5AD2">
        <w:rPr>
          <w:b/>
          <w:i/>
          <w:sz w:val="22"/>
          <w:szCs w:val="22"/>
          <w:lang w:eastAsia="ko-KR"/>
        </w:rPr>
        <w:lastRenderedPageBreak/>
        <w:t>Proposal 3</w:t>
      </w:r>
    </w:p>
    <w:p w14:paraId="322F26D6" w14:textId="29395E45" w:rsidR="00BD5AD2" w:rsidRPr="00B15358" w:rsidRDefault="0089582C" w:rsidP="007E1878">
      <w:pPr>
        <w:pStyle w:val="ListParagraph"/>
        <w:numPr>
          <w:ilvl w:val="0"/>
          <w:numId w:val="45"/>
        </w:numPr>
        <w:jc w:val="both"/>
        <w:rPr>
          <w:rFonts w:ascii="Times New Roman" w:hAnsi="Times New Roman"/>
          <w:i/>
          <w:lang w:eastAsia="ko-KR"/>
        </w:rPr>
      </w:pPr>
      <w:r>
        <w:rPr>
          <w:rFonts w:ascii="Times New Roman" w:hAnsi="Times New Roman"/>
          <w:i/>
          <w:lang w:eastAsia="ko-KR"/>
        </w:rPr>
        <w:t>Study</w:t>
      </w:r>
      <w:r w:rsidR="00B15358" w:rsidRPr="00B15358">
        <w:rPr>
          <w:rFonts w:ascii="Times New Roman" w:hAnsi="Times New Roman"/>
          <w:i/>
          <w:lang w:eastAsia="ko-KR"/>
        </w:rPr>
        <w:t xml:space="preserve"> space-frequency matrix compression based on linear transformation using a subset of </w:t>
      </w:r>
      <w:r w:rsidR="0058581C">
        <w:rPr>
          <w:rFonts w:ascii="Times New Roman" w:hAnsi="Times New Roman"/>
          <w:i/>
          <w:lang w:eastAsia="ko-KR"/>
        </w:rPr>
        <w:t>D</w:t>
      </w:r>
      <w:r w:rsidR="000C7E93">
        <w:rPr>
          <w:rFonts w:ascii="Times New Roman" w:hAnsi="Times New Roman"/>
          <w:i/>
          <w:lang w:eastAsia="ko-KR"/>
        </w:rPr>
        <w:t>FT</w:t>
      </w:r>
      <w:r w:rsidR="00B15358" w:rsidRPr="00B15358">
        <w:rPr>
          <w:rFonts w:ascii="Times New Roman" w:hAnsi="Times New Roman"/>
          <w:i/>
          <w:lang w:eastAsia="ko-KR"/>
        </w:rPr>
        <w:t xml:space="preserve"> vectors</w:t>
      </w:r>
    </w:p>
    <w:p w14:paraId="1D4B1100" w14:textId="740899A4" w:rsidR="00B15358" w:rsidRPr="008C0CA1" w:rsidRDefault="00144C25" w:rsidP="00B15358">
      <w:pPr>
        <w:spacing w:before="240"/>
        <w:jc w:val="both"/>
        <w:rPr>
          <w:sz w:val="22"/>
          <w:lang w:val="en-US" w:eastAsia="ko-KR"/>
        </w:rPr>
      </w:pPr>
      <w:r>
        <w:rPr>
          <w:sz w:val="22"/>
          <w:lang w:eastAsia="ko-KR"/>
        </w:rPr>
        <w:t>The linear transformation of space-frequency matrix can be represented by the following equation</w:t>
      </w:r>
      <w:r w:rsidR="00571C08">
        <w:rPr>
          <w:sz w:val="22"/>
          <w:lang w:eastAsia="ko-KR"/>
        </w:rPr>
        <w:t xml:space="preserve"> as linear combination of </w:t>
      </w:r>
      <w:r w:rsidR="00571C08" w:rsidRPr="00571C08">
        <w:rPr>
          <w:i/>
          <w:sz w:val="22"/>
          <w:lang w:eastAsia="ko-KR"/>
        </w:rPr>
        <w:t>S</w:t>
      </w:r>
      <w:r w:rsidR="00571C08">
        <w:rPr>
          <w:sz w:val="22"/>
          <w:lang w:eastAsia="ko-KR"/>
        </w:rPr>
        <w:t xml:space="preserve"> basis vectors</w:t>
      </w:r>
    </w:p>
    <w:p w14:paraId="63B1A84B" w14:textId="3ECF7DEC" w:rsidR="00144C25" w:rsidRDefault="00144C25" w:rsidP="002E2152">
      <w:pPr>
        <w:tabs>
          <w:tab w:val="left" w:pos="4253"/>
          <w:tab w:val="left" w:pos="9781"/>
        </w:tabs>
        <w:spacing w:after="0"/>
        <w:jc w:val="both"/>
        <w:rPr>
          <w:sz w:val="22"/>
          <w:szCs w:val="22"/>
        </w:rPr>
      </w:pPr>
      <w:r w:rsidRPr="00144C25">
        <w:rPr>
          <w:sz w:val="22"/>
          <w:szCs w:val="22"/>
        </w:rPr>
        <w:tab/>
      </w:r>
      <w:r w:rsidRPr="00144C25">
        <w:rPr>
          <w:position w:val="-30"/>
          <w:sz w:val="22"/>
          <w:szCs w:val="22"/>
        </w:rPr>
        <w:object w:dxaOrig="1740" w:dyaOrig="720" w14:anchorId="2FD13FC5">
          <v:shape id="_x0000_i1029" type="#_x0000_t75" style="width:87pt;height:36pt" o:ole="">
            <v:imagedata r:id="rId19" o:title=""/>
          </v:shape>
          <o:OLEObject Type="Embed" ProgID="Equation.DSMT4" ShapeID="_x0000_i1029" DrawAspect="Content" ObjectID="_1603196173" r:id="rId20"/>
        </w:object>
      </w:r>
      <w:r w:rsidRPr="00144C25">
        <w:rPr>
          <w:sz w:val="22"/>
          <w:szCs w:val="22"/>
        </w:rPr>
        <w:t>,</w:t>
      </w:r>
      <w:r w:rsidRPr="00144C25">
        <w:rPr>
          <w:sz w:val="22"/>
          <w:szCs w:val="22"/>
        </w:rPr>
        <w:tab/>
        <w:t>(</w:t>
      </w:r>
      <w:r>
        <w:rPr>
          <w:sz w:val="22"/>
          <w:szCs w:val="22"/>
        </w:rPr>
        <w:t>3</w:t>
      </w:r>
      <w:r w:rsidRPr="00144C25">
        <w:rPr>
          <w:sz w:val="22"/>
          <w:szCs w:val="22"/>
        </w:rPr>
        <w:t>)</w:t>
      </w:r>
    </w:p>
    <w:p w14:paraId="6C9C2C5F" w14:textId="118512C5" w:rsidR="000A53A7" w:rsidRDefault="00144C25" w:rsidP="00144C25">
      <w:pPr>
        <w:tabs>
          <w:tab w:val="left" w:pos="4253"/>
          <w:tab w:val="left" w:pos="9781"/>
        </w:tabs>
        <w:spacing w:before="240"/>
        <w:jc w:val="both"/>
        <w:rPr>
          <w:sz w:val="22"/>
          <w:szCs w:val="22"/>
        </w:rPr>
      </w:pPr>
      <w:r w:rsidRPr="00144C25">
        <w:rPr>
          <w:position w:val="-10"/>
          <w:sz w:val="22"/>
          <w:szCs w:val="22"/>
        </w:rPr>
        <w:object w:dxaOrig="380" w:dyaOrig="380" w14:anchorId="1DB033CF">
          <v:shape id="_x0000_i1030" type="#_x0000_t75" style="width:18.75pt;height:18.75pt" o:ole="">
            <v:imagedata r:id="rId21" o:title=""/>
          </v:shape>
          <o:OLEObject Type="Embed" ProgID="Equation.DSMT4" ShapeID="_x0000_i1030" DrawAspect="Content" ObjectID="_1603196174" r:id="rId22"/>
        </w:object>
      </w:r>
      <w:r>
        <w:rPr>
          <w:sz w:val="22"/>
          <w:szCs w:val="22"/>
        </w:rPr>
        <w:t xml:space="preserve"> is vector which contain</w:t>
      </w:r>
      <w:r w:rsidR="006A55C9">
        <w:rPr>
          <w:sz w:val="22"/>
          <w:szCs w:val="22"/>
          <w:lang w:val="en-US"/>
        </w:rPr>
        <w:t>s</w:t>
      </w:r>
      <w:r>
        <w:rPr>
          <w:sz w:val="22"/>
          <w:szCs w:val="22"/>
        </w:rPr>
        <w:t xml:space="preserve"> beam combining coefficients for a spatial layer </w:t>
      </w:r>
      <w:r w:rsidRPr="00144C25">
        <w:rPr>
          <w:i/>
          <w:sz w:val="22"/>
          <w:szCs w:val="22"/>
        </w:rPr>
        <w:t>l</w:t>
      </w:r>
      <w:r>
        <w:rPr>
          <w:sz w:val="22"/>
          <w:szCs w:val="22"/>
        </w:rPr>
        <w:t xml:space="preserve"> and spatial beam </w:t>
      </w:r>
      <w:r w:rsidRPr="00144C25">
        <w:rPr>
          <w:i/>
          <w:sz w:val="22"/>
          <w:szCs w:val="22"/>
        </w:rPr>
        <w:t>i</w:t>
      </w:r>
      <w:r>
        <w:rPr>
          <w:sz w:val="22"/>
          <w:szCs w:val="22"/>
        </w:rPr>
        <w:t xml:space="preserve">, </w:t>
      </w:r>
      <w:r w:rsidR="00571C08" w:rsidRPr="00571C08">
        <w:rPr>
          <w:b/>
          <w:sz w:val="22"/>
          <w:szCs w:val="22"/>
        </w:rPr>
        <w:t>z</w:t>
      </w:r>
      <w:r w:rsidR="00571C08" w:rsidRPr="00571C08">
        <w:rPr>
          <w:i/>
          <w:sz w:val="22"/>
          <w:szCs w:val="22"/>
          <w:vertAlign w:val="subscript"/>
        </w:rPr>
        <w:t>m</w:t>
      </w:r>
      <w:r w:rsidR="00571C08">
        <w:rPr>
          <w:sz w:val="22"/>
          <w:szCs w:val="22"/>
        </w:rPr>
        <w:t xml:space="preserve"> – basis vector with index </w:t>
      </w:r>
      <w:r w:rsidR="00571C08" w:rsidRPr="00571C08">
        <w:rPr>
          <w:i/>
          <w:sz w:val="22"/>
          <w:szCs w:val="22"/>
        </w:rPr>
        <w:t>m</w:t>
      </w:r>
      <w:r w:rsidR="00571C08">
        <w:rPr>
          <w:sz w:val="22"/>
          <w:szCs w:val="22"/>
        </w:rPr>
        <w:t>,</w:t>
      </w:r>
      <w:r w:rsidR="006A55C9">
        <w:rPr>
          <w:sz w:val="22"/>
          <w:szCs w:val="22"/>
        </w:rPr>
        <w:t xml:space="preserve"> </w:t>
      </w:r>
      <w:r w:rsidR="006A55C9" w:rsidRPr="006A55C9">
        <w:rPr>
          <w:i/>
          <w:sz w:val="22"/>
          <w:szCs w:val="22"/>
        </w:rPr>
        <w:t>g</w:t>
      </w:r>
      <w:r w:rsidR="006A55C9" w:rsidRPr="006A55C9">
        <w:rPr>
          <w:i/>
          <w:sz w:val="22"/>
          <w:szCs w:val="22"/>
          <w:vertAlign w:val="subscript"/>
        </w:rPr>
        <w:t>s</w:t>
      </w:r>
      <w:r w:rsidR="006A55C9" w:rsidRPr="006A55C9">
        <w:rPr>
          <w:sz w:val="22"/>
          <w:szCs w:val="22"/>
          <w:vertAlign w:val="subscript"/>
        </w:rPr>
        <w:t>,</w:t>
      </w:r>
      <w:r w:rsidR="006A55C9" w:rsidRPr="006A55C9">
        <w:rPr>
          <w:i/>
          <w:sz w:val="22"/>
          <w:szCs w:val="22"/>
          <w:vertAlign w:val="subscript"/>
        </w:rPr>
        <w:t>i</w:t>
      </w:r>
      <w:r w:rsidR="006A55C9" w:rsidRPr="006A55C9">
        <w:rPr>
          <w:sz w:val="22"/>
          <w:szCs w:val="22"/>
          <w:vertAlign w:val="subscript"/>
        </w:rPr>
        <w:t>,</w:t>
      </w:r>
      <w:r w:rsidR="006A55C9" w:rsidRPr="006A55C9">
        <w:rPr>
          <w:i/>
          <w:sz w:val="22"/>
          <w:szCs w:val="22"/>
          <w:vertAlign w:val="subscript"/>
        </w:rPr>
        <w:t>l</w:t>
      </w:r>
      <w:r w:rsidR="006A55C9">
        <w:rPr>
          <w:sz w:val="22"/>
          <w:szCs w:val="22"/>
        </w:rPr>
        <w:t xml:space="preserve"> – indexes of basis vectors in linear combination, </w:t>
      </w:r>
      <w:r w:rsidR="006A55C9" w:rsidRPr="006A55C9">
        <w:rPr>
          <w:i/>
          <w:sz w:val="22"/>
          <w:szCs w:val="22"/>
        </w:rPr>
        <w:t>a</w:t>
      </w:r>
      <w:r w:rsidR="006A55C9" w:rsidRPr="006A55C9">
        <w:rPr>
          <w:i/>
          <w:sz w:val="22"/>
          <w:szCs w:val="22"/>
          <w:vertAlign w:val="subscript"/>
        </w:rPr>
        <w:t>s</w:t>
      </w:r>
      <w:r w:rsidR="006A55C9" w:rsidRPr="006A55C9">
        <w:rPr>
          <w:sz w:val="22"/>
          <w:szCs w:val="22"/>
          <w:vertAlign w:val="subscript"/>
        </w:rPr>
        <w:t>,</w:t>
      </w:r>
      <w:r w:rsidR="006A55C9" w:rsidRPr="006A55C9">
        <w:rPr>
          <w:i/>
          <w:sz w:val="22"/>
          <w:szCs w:val="22"/>
          <w:vertAlign w:val="subscript"/>
        </w:rPr>
        <w:t>i</w:t>
      </w:r>
      <w:r w:rsidR="006A55C9" w:rsidRPr="006A55C9">
        <w:rPr>
          <w:sz w:val="22"/>
          <w:szCs w:val="22"/>
          <w:vertAlign w:val="subscript"/>
        </w:rPr>
        <w:t>,</w:t>
      </w:r>
      <w:r w:rsidR="006A55C9" w:rsidRPr="006A55C9">
        <w:rPr>
          <w:i/>
          <w:sz w:val="22"/>
          <w:szCs w:val="22"/>
          <w:vertAlign w:val="subscript"/>
        </w:rPr>
        <w:t>l</w:t>
      </w:r>
      <w:r w:rsidR="006A55C9">
        <w:rPr>
          <w:sz w:val="22"/>
          <w:szCs w:val="22"/>
        </w:rPr>
        <w:t xml:space="preserve"> – coefficients of linear combination, </w:t>
      </w:r>
      <w:r w:rsidR="006A55C9" w:rsidRPr="006A55C9">
        <w:rPr>
          <w:i/>
          <w:sz w:val="22"/>
          <w:szCs w:val="22"/>
        </w:rPr>
        <w:t>i</w:t>
      </w:r>
      <w:r w:rsidR="006A55C9">
        <w:rPr>
          <w:sz w:val="22"/>
          <w:szCs w:val="22"/>
        </w:rPr>
        <w:t xml:space="preserve"> = 1,2,…,2</w:t>
      </w:r>
      <w:r w:rsidR="006A55C9" w:rsidRPr="006A55C9">
        <w:rPr>
          <w:i/>
          <w:sz w:val="22"/>
          <w:szCs w:val="22"/>
        </w:rPr>
        <w:t>L</w:t>
      </w:r>
      <w:r w:rsidR="006A55C9">
        <w:rPr>
          <w:sz w:val="22"/>
          <w:szCs w:val="22"/>
        </w:rPr>
        <w:t xml:space="preserve"> – index of spatial beam, </w:t>
      </w:r>
      <w:r w:rsidR="006A55C9" w:rsidRPr="006A55C9">
        <w:rPr>
          <w:i/>
          <w:sz w:val="22"/>
          <w:szCs w:val="22"/>
        </w:rPr>
        <w:t>l</w:t>
      </w:r>
      <w:r w:rsidR="006A55C9">
        <w:rPr>
          <w:sz w:val="22"/>
          <w:szCs w:val="22"/>
        </w:rPr>
        <w:t xml:space="preserve"> = 1,2,…,</w:t>
      </w:r>
      <w:r w:rsidR="006A55C9" w:rsidRPr="006A55C9">
        <w:rPr>
          <w:i/>
          <w:sz w:val="22"/>
          <w:szCs w:val="22"/>
        </w:rPr>
        <w:t>R</w:t>
      </w:r>
      <w:r w:rsidR="006A55C9">
        <w:rPr>
          <w:sz w:val="22"/>
          <w:szCs w:val="22"/>
        </w:rPr>
        <w:t xml:space="preserve"> – index of spatial layer.</w:t>
      </w:r>
      <w:r w:rsidR="000A53A7">
        <w:rPr>
          <w:sz w:val="22"/>
          <w:szCs w:val="22"/>
        </w:rPr>
        <w:t xml:space="preserve"> </w:t>
      </w:r>
    </w:p>
    <w:p w14:paraId="53F7912D" w14:textId="0A71E4D6" w:rsidR="00144C25" w:rsidRDefault="0001712C" w:rsidP="00144C25">
      <w:pPr>
        <w:tabs>
          <w:tab w:val="left" w:pos="4253"/>
          <w:tab w:val="left" w:pos="9781"/>
        </w:tabs>
        <w:spacing w:before="240"/>
        <w:jc w:val="both"/>
        <w:rPr>
          <w:sz w:val="22"/>
          <w:szCs w:val="22"/>
          <w:lang w:val="en-US" w:eastAsia="ko-KR"/>
        </w:rPr>
      </w:pPr>
      <w:r>
        <w:rPr>
          <w:sz w:val="22"/>
          <w:szCs w:val="22"/>
          <w:lang w:val="en-US" w:eastAsia="ko-KR"/>
        </w:rPr>
        <w:t xml:space="preserve">In order to compare Type II CSI overhead reduction </w:t>
      </w:r>
      <w:r w:rsidR="00B311D9">
        <w:rPr>
          <w:sz w:val="22"/>
          <w:szCs w:val="22"/>
          <w:lang w:val="en-US" w:eastAsia="ko-KR"/>
        </w:rPr>
        <w:t>with Rel. 15</w:t>
      </w:r>
      <w:r w:rsidR="00F21F9B">
        <w:rPr>
          <w:sz w:val="22"/>
          <w:szCs w:val="22"/>
          <w:lang w:val="en-US" w:eastAsia="ko-KR"/>
        </w:rPr>
        <w:t xml:space="preserve"> Type II</w:t>
      </w:r>
      <w:r w:rsidR="00B311D9">
        <w:rPr>
          <w:sz w:val="22"/>
          <w:szCs w:val="22"/>
          <w:lang w:val="en-US" w:eastAsia="ko-KR"/>
        </w:rPr>
        <w:t xml:space="preserve"> </w:t>
      </w:r>
      <w:r w:rsidR="00F21F9B">
        <w:rPr>
          <w:sz w:val="22"/>
          <w:szCs w:val="22"/>
          <w:lang w:val="en-US" w:eastAsia="ko-KR"/>
        </w:rPr>
        <w:t>codebooks</w:t>
      </w:r>
      <w:r>
        <w:rPr>
          <w:sz w:val="22"/>
          <w:szCs w:val="22"/>
          <w:lang w:val="en-US" w:eastAsia="ko-KR"/>
        </w:rPr>
        <w:t>, system level simulations were carried out for</w:t>
      </w:r>
      <w:r w:rsidR="00B311D9" w:rsidRPr="00B311D9">
        <w:rPr>
          <w:sz w:val="22"/>
          <w:szCs w:val="22"/>
          <w:lang w:val="en-US" w:eastAsia="ko-KR"/>
        </w:rPr>
        <w:t xml:space="preserve"> </w:t>
      </w:r>
      <w:r w:rsidR="00B311D9">
        <w:rPr>
          <w:sz w:val="22"/>
          <w:szCs w:val="22"/>
          <w:lang w:val="en-US" w:eastAsia="ko-KR"/>
        </w:rPr>
        <w:t>Type II CSI overhead reduction based on linear combination of</w:t>
      </w:r>
      <w:r>
        <w:rPr>
          <w:sz w:val="22"/>
          <w:szCs w:val="22"/>
          <w:lang w:val="en-US" w:eastAsia="ko-KR"/>
        </w:rPr>
        <w:t xml:space="preserve"> </w:t>
      </w:r>
      <w:r w:rsidR="00125808" w:rsidRPr="00125808">
        <w:rPr>
          <w:i/>
          <w:sz w:val="22"/>
          <w:szCs w:val="22"/>
          <w:lang w:val="en-US" w:eastAsia="ko-KR"/>
        </w:rPr>
        <w:t>S</w:t>
      </w:r>
      <w:r w:rsidR="00462C32">
        <w:rPr>
          <w:sz w:val="22"/>
          <w:szCs w:val="22"/>
          <w:lang w:val="en-US" w:eastAsia="ko-KR"/>
        </w:rPr>
        <w:t xml:space="preserve"> DFT vectors. </w:t>
      </w:r>
      <w:r w:rsidR="00340C02">
        <w:rPr>
          <w:sz w:val="22"/>
          <w:szCs w:val="22"/>
          <w:lang w:val="en-US" w:eastAsia="ko-KR"/>
        </w:rPr>
        <w:t>The following CSI configurations were considered</w:t>
      </w:r>
    </w:p>
    <w:p w14:paraId="43E420EA" w14:textId="1F2E577A" w:rsidR="00340C02" w:rsidRPr="00340C02" w:rsidRDefault="006341D7" w:rsidP="00340C02">
      <w:pPr>
        <w:pStyle w:val="ListParagraph"/>
        <w:numPr>
          <w:ilvl w:val="0"/>
          <w:numId w:val="45"/>
        </w:numPr>
        <w:tabs>
          <w:tab w:val="left" w:pos="4253"/>
          <w:tab w:val="left" w:pos="9781"/>
        </w:tabs>
        <w:jc w:val="both"/>
        <w:rPr>
          <w:rFonts w:ascii="Times New Roman" w:hAnsi="Times New Roman"/>
          <w:lang w:eastAsia="ko-KR"/>
        </w:rPr>
      </w:pPr>
      <w:r>
        <w:rPr>
          <w:rFonts w:ascii="Times New Roman" w:hAnsi="Times New Roman"/>
          <w:lang w:eastAsia="ko-KR"/>
        </w:rPr>
        <w:t xml:space="preserve">Rel. 15 NR </w:t>
      </w:r>
      <w:r w:rsidR="00340C02" w:rsidRPr="00340C02">
        <w:rPr>
          <w:rFonts w:ascii="Times New Roman" w:hAnsi="Times New Roman"/>
          <w:lang w:eastAsia="ko-KR"/>
        </w:rPr>
        <w:t xml:space="preserve">Type I </w:t>
      </w:r>
      <w:r w:rsidR="00340C02">
        <w:rPr>
          <w:rFonts w:ascii="Times New Roman" w:hAnsi="Times New Roman"/>
          <w:lang w:eastAsia="ko-KR"/>
        </w:rPr>
        <w:t>codebook</w:t>
      </w:r>
      <w:r w:rsidR="00A129B6">
        <w:rPr>
          <w:rFonts w:ascii="Times New Roman" w:hAnsi="Times New Roman"/>
          <w:lang w:eastAsia="ko-KR"/>
        </w:rPr>
        <w:t xml:space="preserve"> with</w:t>
      </w:r>
      <w:r w:rsidR="00340C02" w:rsidRPr="00340C02">
        <w:rPr>
          <w:rFonts w:ascii="Times New Roman" w:hAnsi="Times New Roman"/>
          <w:lang w:eastAsia="ko-KR"/>
        </w:rPr>
        <w:t xml:space="preserve"> L = 1</w:t>
      </w:r>
    </w:p>
    <w:p w14:paraId="661D4512" w14:textId="15631FD2" w:rsidR="00AC04DC" w:rsidRPr="0023754A" w:rsidRDefault="006341D7" w:rsidP="00AC04DC">
      <w:pPr>
        <w:pStyle w:val="ListParagraph"/>
        <w:numPr>
          <w:ilvl w:val="0"/>
          <w:numId w:val="45"/>
        </w:numPr>
        <w:tabs>
          <w:tab w:val="left" w:pos="4253"/>
          <w:tab w:val="left" w:pos="9781"/>
        </w:tabs>
        <w:jc w:val="both"/>
        <w:rPr>
          <w:rFonts w:ascii="Times New Roman" w:hAnsi="Times New Roman"/>
          <w:lang w:eastAsia="ko-KR"/>
        </w:rPr>
      </w:pPr>
      <w:r w:rsidRPr="0023754A">
        <w:rPr>
          <w:rFonts w:ascii="Times New Roman" w:hAnsi="Times New Roman"/>
          <w:lang w:eastAsia="ko-KR"/>
        </w:rPr>
        <w:t xml:space="preserve">Rel. 15 NR </w:t>
      </w:r>
      <w:r w:rsidR="00AC04DC" w:rsidRPr="0023754A">
        <w:rPr>
          <w:rFonts w:ascii="Times New Roman" w:hAnsi="Times New Roman"/>
          <w:lang w:eastAsia="ko-KR"/>
        </w:rPr>
        <w:t>Type II codebook with L = 2</w:t>
      </w:r>
      <w:r w:rsidRPr="0023754A">
        <w:rPr>
          <w:rFonts w:ascii="Times New Roman" w:hAnsi="Times New Roman"/>
          <w:lang w:eastAsia="ko-KR"/>
        </w:rPr>
        <w:t xml:space="preserve"> and L = 4</w:t>
      </w:r>
      <w:r w:rsidR="00E30BBC">
        <w:rPr>
          <w:rFonts w:ascii="Times New Roman" w:hAnsi="Times New Roman"/>
          <w:lang w:eastAsia="ko-KR"/>
        </w:rPr>
        <w:t xml:space="preserve"> with different </w:t>
      </w:r>
      <w:r w:rsidR="002B4595">
        <w:rPr>
          <w:rFonts w:ascii="Times New Roman" w:hAnsi="Times New Roman"/>
          <w:lang w:eastAsia="ko-KR"/>
        </w:rPr>
        <w:t>configurations</w:t>
      </w:r>
    </w:p>
    <w:p w14:paraId="63980BBB" w14:textId="4F1F1C14" w:rsidR="006341D7" w:rsidRPr="0023754A" w:rsidRDefault="006341D7" w:rsidP="006341D7">
      <w:pPr>
        <w:pStyle w:val="ListParagraph"/>
        <w:numPr>
          <w:ilvl w:val="1"/>
          <w:numId w:val="45"/>
        </w:numPr>
        <w:tabs>
          <w:tab w:val="left" w:pos="4253"/>
          <w:tab w:val="left" w:pos="9781"/>
        </w:tabs>
        <w:jc w:val="both"/>
        <w:rPr>
          <w:rFonts w:ascii="Times New Roman" w:hAnsi="Times New Roman"/>
          <w:lang w:eastAsia="ko-KR"/>
        </w:rPr>
      </w:pPr>
      <w:r w:rsidRPr="0023754A">
        <w:rPr>
          <w:rFonts w:ascii="Times New Roman" w:hAnsi="Times New Roman"/>
          <w:lang w:eastAsia="ko-KR"/>
        </w:rPr>
        <w:t>QPSK phase + WB amplitude</w:t>
      </w:r>
    </w:p>
    <w:p w14:paraId="77851835" w14:textId="7C8F3CC9" w:rsidR="006341D7" w:rsidRPr="0023754A" w:rsidRDefault="006341D7" w:rsidP="006341D7">
      <w:pPr>
        <w:pStyle w:val="ListParagraph"/>
        <w:numPr>
          <w:ilvl w:val="1"/>
          <w:numId w:val="45"/>
        </w:numPr>
        <w:tabs>
          <w:tab w:val="left" w:pos="4253"/>
          <w:tab w:val="left" w:pos="9781"/>
        </w:tabs>
        <w:jc w:val="both"/>
        <w:rPr>
          <w:rFonts w:ascii="Times New Roman" w:hAnsi="Times New Roman"/>
          <w:lang w:eastAsia="ko-KR"/>
        </w:rPr>
      </w:pPr>
      <w:r w:rsidRPr="0023754A">
        <w:rPr>
          <w:rFonts w:ascii="Times New Roman" w:hAnsi="Times New Roman"/>
          <w:lang w:eastAsia="ko-KR"/>
        </w:rPr>
        <w:t>8-PSK phase + WB amplitude</w:t>
      </w:r>
    </w:p>
    <w:p w14:paraId="21F62FA9" w14:textId="69C39929" w:rsidR="006341D7" w:rsidRPr="0023754A" w:rsidRDefault="006341D7" w:rsidP="006341D7">
      <w:pPr>
        <w:pStyle w:val="ListParagraph"/>
        <w:numPr>
          <w:ilvl w:val="1"/>
          <w:numId w:val="45"/>
        </w:numPr>
        <w:tabs>
          <w:tab w:val="left" w:pos="4253"/>
          <w:tab w:val="left" w:pos="9781"/>
        </w:tabs>
        <w:jc w:val="both"/>
        <w:rPr>
          <w:rFonts w:ascii="Times New Roman" w:hAnsi="Times New Roman"/>
          <w:lang w:eastAsia="ko-KR"/>
        </w:rPr>
      </w:pPr>
      <w:r w:rsidRPr="0023754A">
        <w:rPr>
          <w:rFonts w:ascii="Times New Roman" w:hAnsi="Times New Roman"/>
          <w:lang w:eastAsia="ko-KR"/>
        </w:rPr>
        <w:t>8-PSK phase + SB amplitude</w:t>
      </w:r>
    </w:p>
    <w:p w14:paraId="2148F23A" w14:textId="634022C1" w:rsidR="00340C02" w:rsidRDefault="0023754A" w:rsidP="0023754A">
      <w:pPr>
        <w:pStyle w:val="ListParagraph"/>
        <w:numPr>
          <w:ilvl w:val="0"/>
          <w:numId w:val="45"/>
        </w:numPr>
        <w:tabs>
          <w:tab w:val="left" w:pos="4253"/>
          <w:tab w:val="left" w:pos="9781"/>
        </w:tabs>
        <w:jc w:val="both"/>
        <w:rPr>
          <w:rFonts w:ascii="Times New Roman" w:hAnsi="Times New Roman"/>
          <w:lang w:eastAsia="ko-KR"/>
        </w:rPr>
      </w:pPr>
      <w:r w:rsidRPr="0023754A">
        <w:rPr>
          <w:rFonts w:ascii="Times New Roman" w:hAnsi="Times New Roman"/>
          <w:lang w:eastAsia="ko-KR"/>
        </w:rPr>
        <w:t>Type II CSI overhead reduction based on linear combination of S DFT vectors</w:t>
      </w:r>
      <w:r w:rsidR="00E572A6">
        <w:rPr>
          <w:rFonts w:ascii="Times New Roman" w:hAnsi="Times New Roman"/>
          <w:lang w:eastAsia="ko-KR"/>
        </w:rPr>
        <w:t xml:space="preserve"> with different </w:t>
      </w:r>
      <w:r w:rsidR="00456BD4">
        <w:rPr>
          <w:rFonts w:ascii="Times New Roman" w:hAnsi="Times New Roman"/>
          <w:lang w:eastAsia="ko-KR"/>
        </w:rPr>
        <w:t>L</w:t>
      </w:r>
      <w:r w:rsidR="00E572A6">
        <w:rPr>
          <w:rFonts w:ascii="Times New Roman" w:hAnsi="Times New Roman"/>
          <w:lang w:eastAsia="ko-KR"/>
        </w:rPr>
        <w:t xml:space="preserve"> and </w:t>
      </w:r>
      <w:r w:rsidR="00456BD4">
        <w:rPr>
          <w:rFonts w:ascii="Times New Roman" w:hAnsi="Times New Roman"/>
          <w:lang w:eastAsia="ko-KR"/>
        </w:rPr>
        <w:t>S</w:t>
      </w:r>
    </w:p>
    <w:p w14:paraId="622CED41" w14:textId="16B841AF" w:rsidR="0023754A" w:rsidRDefault="0023754A" w:rsidP="0023754A">
      <w:pPr>
        <w:pStyle w:val="ListParagraph"/>
        <w:numPr>
          <w:ilvl w:val="1"/>
          <w:numId w:val="45"/>
        </w:numPr>
        <w:tabs>
          <w:tab w:val="left" w:pos="4253"/>
          <w:tab w:val="left" w:pos="9781"/>
        </w:tabs>
        <w:jc w:val="both"/>
        <w:rPr>
          <w:rFonts w:ascii="Times New Roman" w:hAnsi="Times New Roman"/>
          <w:lang w:eastAsia="ko-KR"/>
        </w:rPr>
      </w:pPr>
      <w:r>
        <w:rPr>
          <w:rFonts w:ascii="Times New Roman" w:hAnsi="Times New Roman"/>
          <w:lang w:eastAsia="ko-KR"/>
        </w:rPr>
        <w:t>L = 2 and L = 4</w:t>
      </w:r>
    </w:p>
    <w:p w14:paraId="35BC9F08" w14:textId="0340E50D" w:rsidR="0023754A" w:rsidRDefault="0023754A" w:rsidP="0023754A">
      <w:pPr>
        <w:pStyle w:val="ListParagraph"/>
        <w:numPr>
          <w:ilvl w:val="1"/>
          <w:numId w:val="45"/>
        </w:numPr>
        <w:tabs>
          <w:tab w:val="left" w:pos="4253"/>
          <w:tab w:val="left" w:pos="9781"/>
        </w:tabs>
        <w:jc w:val="both"/>
        <w:rPr>
          <w:rFonts w:ascii="Times New Roman" w:hAnsi="Times New Roman"/>
          <w:lang w:eastAsia="ko-KR"/>
        </w:rPr>
      </w:pPr>
      <w:r>
        <w:rPr>
          <w:rFonts w:ascii="Times New Roman" w:hAnsi="Times New Roman"/>
          <w:lang w:eastAsia="ko-KR"/>
        </w:rPr>
        <w:t>S = {1, 2, 4, 6, 8, 10, 12}</w:t>
      </w:r>
    </w:p>
    <w:p w14:paraId="7CF7C24F" w14:textId="6B3150E4" w:rsidR="00AE70DE" w:rsidRDefault="00394AC5" w:rsidP="00394AC5">
      <w:pPr>
        <w:tabs>
          <w:tab w:val="left" w:pos="4253"/>
          <w:tab w:val="left" w:pos="9781"/>
        </w:tabs>
        <w:spacing w:before="240"/>
        <w:jc w:val="both"/>
        <w:rPr>
          <w:sz w:val="22"/>
          <w:lang w:eastAsia="ko-KR"/>
        </w:rPr>
      </w:pPr>
      <w:r w:rsidRPr="00394AC5">
        <w:rPr>
          <w:sz w:val="22"/>
          <w:lang w:val="en-US" w:eastAsia="ko-KR"/>
        </w:rPr>
        <w:t xml:space="preserve">For </w:t>
      </w:r>
      <w:r w:rsidRPr="00394AC5">
        <w:rPr>
          <w:sz w:val="22"/>
          <w:lang w:eastAsia="ko-KR"/>
        </w:rPr>
        <w:t>Type II CSI overhead reduction based on linear combination of S DFT vectors</w:t>
      </w:r>
      <w:r>
        <w:rPr>
          <w:sz w:val="22"/>
          <w:lang w:eastAsia="ko-KR"/>
        </w:rPr>
        <w:t xml:space="preserve">, same subset of basis vectors was considered for </w:t>
      </w:r>
      <w:r w:rsidR="00BB761A">
        <w:rPr>
          <w:sz w:val="22"/>
          <w:lang w:eastAsia="ko-KR"/>
        </w:rPr>
        <w:t>all</w:t>
      </w:r>
      <w:r>
        <w:rPr>
          <w:sz w:val="22"/>
          <w:lang w:eastAsia="ko-KR"/>
        </w:rPr>
        <w:t xml:space="preserve"> spatial beams</w:t>
      </w:r>
      <w:r w:rsidR="00BB761A">
        <w:rPr>
          <w:sz w:val="22"/>
          <w:lang w:eastAsia="ko-KR"/>
        </w:rPr>
        <w:t xml:space="preserve"> per spatial layer</w:t>
      </w:r>
      <w:r w:rsidR="00CC2CBA">
        <w:rPr>
          <w:sz w:val="22"/>
          <w:lang w:eastAsia="ko-KR"/>
        </w:rPr>
        <w:t>.</w:t>
      </w:r>
      <w:r w:rsidR="00CE616C">
        <w:rPr>
          <w:sz w:val="22"/>
          <w:lang w:eastAsia="ko-KR"/>
        </w:rPr>
        <w:t xml:space="preserve"> DFT matrix with size equal to</w:t>
      </w:r>
      <w:r w:rsidR="00AE70DE">
        <w:rPr>
          <w:sz w:val="22"/>
          <w:lang w:eastAsia="ko-KR"/>
        </w:rPr>
        <w:t xml:space="preserve"> the</w:t>
      </w:r>
      <w:r w:rsidR="00CE616C">
        <w:rPr>
          <w:sz w:val="22"/>
          <w:lang w:eastAsia="ko-KR"/>
        </w:rPr>
        <w:t xml:space="preserve"> number of subbands was considered </w:t>
      </w:r>
      <w:r w:rsidR="00E44AD7">
        <w:rPr>
          <w:sz w:val="22"/>
          <w:lang w:eastAsia="ko-KR"/>
        </w:rPr>
        <w:t>as the</w:t>
      </w:r>
      <w:r w:rsidR="00CE616C">
        <w:rPr>
          <w:sz w:val="22"/>
          <w:lang w:eastAsia="ko-KR"/>
        </w:rPr>
        <w:t xml:space="preserve"> set of basis vectors.</w:t>
      </w:r>
      <w:r w:rsidR="00D5571B">
        <w:rPr>
          <w:sz w:val="22"/>
          <w:lang w:eastAsia="ko-KR"/>
        </w:rPr>
        <w:t xml:space="preserve"> Quantization scheme of coefficients assumed 6 bits for leading coefficient</w:t>
      </w:r>
      <w:r w:rsidR="00226503">
        <w:rPr>
          <w:sz w:val="22"/>
          <w:lang w:eastAsia="ko-KR"/>
        </w:rPr>
        <w:t xml:space="preserve"> per spatial beam</w:t>
      </w:r>
      <w:r w:rsidR="00D5571B">
        <w:rPr>
          <w:sz w:val="22"/>
          <w:lang w:eastAsia="ko-KR"/>
        </w:rPr>
        <w:t xml:space="preserve"> and 5 bits </w:t>
      </w:r>
      <w:r w:rsidR="00044B88">
        <w:rPr>
          <w:sz w:val="22"/>
          <w:lang w:eastAsia="ko-KR"/>
        </w:rPr>
        <w:t>per</w:t>
      </w:r>
      <w:r w:rsidR="00D5571B">
        <w:rPr>
          <w:sz w:val="22"/>
          <w:lang w:eastAsia="ko-KR"/>
        </w:rPr>
        <w:t xml:space="preserve"> other coeffic</w:t>
      </w:r>
      <w:r w:rsidR="00044B88">
        <w:rPr>
          <w:sz w:val="22"/>
          <w:lang w:eastAsia="ko-KR"/>
        </w:rPr>
        <w:t>ient</w:t>
      </w:r>
      <w:r w:rsidR="0005776A">
        <w:rPr>
          <w:sz w:val="22"/>
          <w:lang w:eastAsia="ko-KR"/>
        </w:rPr>
        <w:t>s</w:t>
      </w:r>
      <w:r w:rsidR="00D5571B">
        <w:rPr>
          <w:sz w:val="22"/>
          <w:lang w:eastAsia="ko-KR"/>
        </w:rPr>
        <w:t>.</w:t>
      </w:r>
    </w:p>
    <w:p w14:paraId="05ADFC28" w14:textId="4FFAA2D9" w:rsidR="00B8794E" w:rsidRDefault="00B8794E" w:rsidP="00394AC5">
      <w:pPr>
        <w:tabs>
          <w:tab w:val="left" w:pos="4253"/>
          <w:tab w:val="left" w:pos="9781"/>
        </w:tabs>
        <w:spacing w:before="240"/>
        <w:jc w:val="both"/>
        <w:rPr>
          <w:sz w:val="22"/>
          <w:lang w:eastAsia="ko-KR"/>
        </w:rPr>
      </w:pPr>
      <w:r>
        <w:rPr>
          <w:sz w:val="22"/>
          <w:lang w:eastAsia="ko-KR"/>
        </w:rPr>
        <w:t xml:space="preserve">Evaluation results for average packet throughput and cell-edge packet throughput are presented </w:t>
      </w:r>
      <w:r w:rsidR="000F6C27">
        <w:rPr>
          <w:sz w:val="22"/>
          <w:lang w:eastAsia="ko-KR"/>
        </w:rPr>
        <w:t>in</w:t>
      </w:r>
      <w:r>
        <w:rPr>
          <w:sz w:val="22"/>
          <w:lang w:eastAsia="ko-KR"/>
        </w:rPr>
        <w:t xml:space="preserve"> figure </w:t>
      </w:r>
      <w:r w:rsidR="00C648E3">
        <w:rPr>
          <w:sz w:val="22"/>
          <w:lang w:eastAsia="ko-KR"/>
        </w:rPr>
        <w:t xml:space="preserve">3 </w:t>
      </w:r>
      <w:r>
        <w:rPr>
          <w:sz w:val="22"/>
          <w:lang w:eastAsia="ko-KR"/>
        </w:rPr>
        <w:t>and figure</w:t>
      </w:r>
      <w:r w:rsidR="00C648E3">
        <w:rPr>
          <w:sz w:val="22"/>
          <w:lang w:eastAsia="ko-KR"/>
        </w:rPr>
        <w:t> 4</w:t>
      </w:r>
      <w:r>
        <w:rPr>
          <w:sz w:val="22"/>
          <w:lang w:eastAsia="ko-KR"/>
        </w:rPr>
        <w:t xml:space="preserve"> respectively</w:t>
      </w:r>
      <w:r w:rsidR="00E10078">
        <w:rPr>
          <w:sz w:val="22"/>
          <w:lang w:eastAsia="ko-KR"/>
        </w:rPr>
        <w:t xml:space="preserve"> for high traffic load (~70% resource utilization)</w:t>
      </w:r>
      <w:r>
        <w:rPr>
          <w:sz w:val="22"/>
          <w:lang w:eastAsia="ko-KR"/>
        </w:rPr>
        <w:t xml:space="preserve">. Y axis </w:t>
      </w:r>
      <w:r w:rsidR="00F015DE">
        <w:rPr>
          <w:sz w:val="22"/>
          <w:lang w:eastAsia="ko-KR"/>
        </w:rPr>
        <w:t>corresponds to</w:t>
      </w:r>
      <w:r>
        <w:rPr>
          <w:sz w:val="22"/>
          <w:lang w:eastAsia="ko-KR"/>
        </w:rPr>
        <w:t xml:space="preserve"> throughput gain comparing to Type I codebook performance, X axis </w:t>
      </w:r>
      <w:r w:rsidR="00F015DE">
        <w:rPr>
          <w:sz w:val="22"/>
          <w:lang w:eastAsia="ko-KR"/>
        </w:rPr>
        <w:t>corresponds to</w:t>
      </w:r>
      <w:r>
        <w:rPr>
          <w:sz w:val="22"/>
          <w:lang w:eastAsia="ko-KR"/>
        </w:rPr>
        <w:t xml:space="preserve"> number of bits required for reporting of space-frequency matrix. </w:t>
      </w:r>
      <w:r w:rsidR="00FF29D3">
        <w:rPr>
          <w:sz w:val="22"/>
          <w:lang w:eastAsia="ko-KR"/>
        </w:rPr>
        <w:t>Detailed evaluation results and evaluation assumptions can be found in the Appendix.</w:t>
      </w:r>
    </w:p>
    <w:p w14:paraId="4664AF7A" w14:textId="14F572E2" w:rsidR="00B8794E" w:rsidRDefault="007B16F9" w:rsidP="00B8794E">
      <w:pPr>
        <w:tabs>
          <w:tab w:val="left" w:pos="4253"/>
          <w:tab w:val="left" w:pos="9781"/>
        </w:tabs>
        <w:spacing w:before="240"/>
        <w:jc w:val="center"/>
        <w:rPr>
          <w:sz w:val="22"/>
          <w:lang w:val="en-US" w:eastAsia="ko-KR"/>
        </w:rPr>
      </w:pPr>
      <w:r>
        <w:rPr>
          <w:noProof/>
          <w:lang w:val="ru-RU" w:eastAsia="ru-RU"/>
        </w:rPr>
        <w:lastRenderedPageBreak/>
        <w:drawing>
          <wp:inline distT="0" distB="0" distL="0" distR="0" wp14:anchorId="27450924" wp14:editId="03AEEB4C">
            <wp:extent cx="5095875" cy="3057525"/>
            <wp:effectExtent l="0" t="0" r="9525"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8BB4F86" w14:textId="1D7A343E" w:rsidR="00B8794E" w:rsidRDefault="00B8794E" w:rsidP="00B8794E">
      <w:pPr>
        <w:tabs>
          <w:tab w:val="left" w:pos="4253"/>
          <w:tab w:val="left" w:pos="9781"/>
        </w:tabs>
        <w:spacing w:before="240"/>
        <w:jc w:val="center"/>
        <w:rPr>
          <w:sz w:val="22"/>
          <w:lang w:val="en-US" w:eastAsia="ko-KR"/>
        </w:rPr>
      </w:pPr>
      <w:r w:rsidRPr="00B8794E">
        <w:rPr>
          <w:b/>
          <w:sz w:val="22"/>
          <w:lang w:val="en-US" w:eastAsia="ko-KR"/>
        </w:rPr>
        <w:t>Figure 3.</w:t>
      </w:r>
      <w:r>
        <w:rPr>
          <w:sz w:val="22"/>
          <w:lang w:val="en-US" w:eastAsia="ko-KR"/>
        </w:rPr>
        <w:t xml:space="preserve"> Average packet throughput and number of bits for different codebooks</w:t>
      </w:r>
    </w:p>
    <w:p w14:paraId="12167EFB" w14:textId="08A942C8" w:rsidR="00B8794E" w:rsidRDefault="007B16F9" w:rsidP="00B8794E">
      <w:pPr>
        <w:tabs>
          <w:tab w:val="left" w:pos="4253"/>
          <w:tab w:val="left" w:pos="9781"/>
        </w:tabs>
        <w:spacing w:before="240"/>
        <w:jc w:val="center"/>
        <w:rPr>
          <w:sz w:val="22"/>
          <w:lang w:val="en-US" w:eastAsia="ko-KR"/>
        </w:rPr>
      </w:pPr>
      <w:r>
        <w:rPr>
          <w:noProof/>
          <w:lang w:val="ru-RU" w:eastAsia="ru-RU"/>
        </w:rPr>
        <w:drawing>
          <wp:inline distT="0" distB="0" distL="0" distR="0" wp14:anchorId="60739DD0" wp14:editId="29ECA7BE">
            <wp:extent cx="5067300" cy="3040380"/>
            <wp:effectExtent l="0" t="0" r="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3E1FEBD" w14:textId="05165786" w:rsidR="00B8794E" w:rsidRDefault="00B8794E" w:rsidP="00B8794E">
      <w:pPr>
        <w:tabs>
          <w:tab w:val="left" w:pos="4253"/>
          <w:tab w:val="left" w:pos="9781"/>
        </w:tabs>
        <w:spacing w:before="240"/>
        <w:jc w:val="center"/>
        <w:rPr>
          <w:sz w:val="22"/>
          <w:lang w:val="en-US" w:eastAsia="ko-KR"/>
        </w:rPr>
      </w:pPr>
      <w:r w:rsidRPr="00B8794E">
        <w:rPr>
          <w:b/>
          <w:sz w:val="22"/>
          <w:lang w:val="en-US" w:eastAsia="ko-KR"/>
        </w:rPr>
        <w:t xml:space="preserve">Figure </w:t>
      </w:r>
      <w:r w:rsidR="00C648E3">
        <w:rPr>
          <w:b/>
          <w:sz w:val="22"/>
          <w:lang w:val="en-US" w:eastAsia="ko-KR"/>
        </w:rPr>
        <w:t>4</w:t>
      </w:r>
      <w:r w:rsidRPr="00B8794E">
        <w:rPr>
          <w:b/>
          <w:sz w:val="22"/>
          <w:lang w:val="en-US" w:eastAsia="ko-KR"/>
        </w:rPr>
        <w:t>.</w:t>
      </w:r>
      <w:r>
        <w:rPr>
          <w:sz w:val="22"/>
          <w:lang w:val="en-US" w:eastAsia="ko-KR"/>
        </w:rPr>
        <w:t xml:space="preserve"> Cell-edge packet throughput and number of bits for different codebooks</w:t>
      </w:r>
    </w:p>
    <w:p w14:paraId="48FBC5BD" w14:textId="207AEE9E" w:rsidR="006638D7" w:rsidRDefault="006638D7" w:rsidP="00C8362F">
      <w:pPr>
        <w:tabs>
          <w:tab w:val="left" w:pos="4253"/>
          <w:tab w:val="left" w:pos="9781"/>
        </w:tabs>
        <w:spacing w:before="240"/>
        <w:jc w:val="both"/>
        <w:rPr>
          <w:sz w:val="22"/>
          <w:lang w:val="en-US" w:eastAsia="ko-KR"/>
        </w:rPr>
      </w:pPr>
      <w:r>
        <w:rPr>
          <w:sz w:val="22"/>
          <w:lang w:val="en-US" w:eastAsia="ko-KR"/>
        </w:rPr>
        <w:t>As it can be seen from the</w:t>
      </w:r>
      <w:r w:rsidR="00DB3EBE">
        <w:rPr>
          <w:sz w:val="22"/>
          <w:lang w:val="en-US" w:eastAsia="ko-KR"/>
        </w:rPr>
        <w:t xml:space="preserve"> above</w:t>
      </w:r>
      <w:r>
        <w:rPr>
          <w:sz w:val="22"/>
          <w:lang w:val="en-US" w:eastAsia="ko-KR"/>
        </w:rPr>
        <w:t xml:space="preserve"> simulation results</w:t>
      </w:r>
      <w:r w:rsidR="005A3A50">
        <w:rPr>
          <w:sz w:val="22"/>
          <w:lang w:val="en-US" w:eastAsia="ko-KR"/>
        </w:rPr>
        <w:t>,</w:t>
      </w:r>
      <w:r w:rsidR="00A54C7B">
        <w:rPr>
          <w:sz w:val="22"/>
          <w:lang w:val="en-US" w:eastAsia="ko-KR"/>
        </w:rPr>
        <w:t xml:space="preserve"> </w:t>
      </w:r>
      <w:r>
        <w:rPr>
          <w:sz w:val="22"/>
          <w:lang w:val="en-US" w:eastAsia="ko-KR"/>
        </w:rPr>
        <w:t>Type II compre</w:t>
      </w:r>
      <w:r w:rsidR="0037285A">
        <w:rPr>
          <w:sz w:val="22"/>
          <w:lang w:val="en-US" w:eastAsia="ko-KR"/>
        </w:rPr>
        <w:t xml:space="preserve">ssion provides additional </w:t>
      </w:r>
      <w:r w:rsidR="00A54C7B">
        <w:rPr>
          <w:sz w:val="22"/>
          <w:lang w:val="en-US" w:eastAsia="ko-KR"/>
        </w:rPr>
        <w:t>flexibility</w:t>
      </w:r>
      <w:r w:rsidR="0037285A">
        <w:rPr>
          <w:sz w:val="22"/>
          <w:lang w:val="en-US" w:eastAsia="ko-KR"/>
        </w:rPr>
        <w:t xml:space="preserve"> for </w:t>
      </w:r>
      <w:r w:rsidR="006D247B">
        <w:rPr>
          <w:sz w:val="22"/>
          <w:lang w:val="en-US" w:eastAsia="ko-KR"/>
        </w:rPr>
        <w:t>throughput</w:t>
      </w:r>
      <w:r w:rsidR="0037285A">
        <w:rPr>
          <w:sz w:val="22"/>
          <w:lang w:val="en-US" w:eastAsia="ko-KR"/>
        </w:rPr>
        <w:t>-overhead tradeoff.</w:t>
      </w:r>
      <w:r w:rsidR="00A54C7B">
        <w:rPr>
          <w:sz w:val="22"/>
          <w:lang w:val="en-US" w:eastAsia="ko-KR"/>
        </w:rPr>
        <w:t xml:space="preserve"> F</w:t>
      </w:r>
      <w:r w:rsidR="004465B0">
        <w:rPr>
          <w:sz w:val="22"/>
          <w:lang w:val="en-US" w:eastAsia="ko-KR"/>
        </w:rPr>
        <w:t>urther study is needed to improve the performance of compression scheme</w:t>
      </w:r>
      <w:r w:rsidR="005A3A50">
        <w:rPr>
          <w:sz w:val="22"/>
          <w:lang w:val="en-US" w:eastAsia="ko-KR"/>
        </w:rPr>
        <w:t xml:space="preserve"> including study of </w:t>
      </w:r>
      <w:r w:rsidR="00A601B7">
        <w:rPr>
          <w:sz w:val="22"/>
          <w:lang w:val="en-US" w:eastAsia="ko-KR"/>
        </w:rPr>
        <w:t>oversampling of DFT vectors, selection of DFT vectors, optimization of coefficient quantization</w:t>
      </w:r>
      <w:r w:rsidR="004465B0">
        <w:rPr>
          <w:sz w:val="22"/>
          <w:lang w:val="en-US" w:eastAsia="ko-KR"/>
        </w:rPr>
        <w:t>.</w:t>
      </w:r>
    </w:p>
    <w:p w14:paraId="2859F0FA" w14:textId="605F191A" w:rsidR="00B8794E" w:rsidRPr="004E6F4A" w:rsidRDefault="00681FCB" w:rsidP="00681FCB">
      <w:pPr>
        <w:tabs>
          <w:tab w:val="left" w:pos="4253"/>
          <w:tab w:val="left" w:pos="9781"/>
        </w:tabs>
        <w:spacing w:before="240"/>
        <w:rPr>
          <w:b/>
          <w:i/>
          <w:sz w:val="22"/>
          <w:lang w:val="en-US" w:eastAsia="ko-KR"/>
        </w:rPr>
      </w:pPr>
      <w:r w:rsidRPr="004E6F4A">
        <w:rPr>
          <w:b/>
          <w:i/>
          <w:sz w:val="22"/>
          <w:lang w:val="en-US" w:eastAsia="ko-KR"/>
        </w:rPr>
        <w:t>Observation 1</w:t>
      </w:r>
    </w:p>
    <w:p w14:paraId="0170C3AB" w14:textId="74588511" w:rsidR="00681FCB" w:rsidRPr="004E6F4A" w:rsidRDefault="00681FCB" w:rsidP="007E1878">
      <w:pPr>
        <w:pStyle w:val="ListParagraph"/>
        <w:numPr>
          <w:ilvl w:val="0"/>
          <w:numId w:val="46"/>
        </w:numPr>
        <w:tabs>
          <w:tab w:val="left" w:pos="4253"/>
          <w:tab w:val="left" w:pos="9781"/>
        </w:tabs>
        <w:rPr>
          <w:rFonts w:ascii="Times New Roman" w:hAnsi="Times New Roman"/>
          <w:i/>
          <w:lang w:eastAsia="ko-KR"/>
        </w:rPr>
      </w:pPr>
      <w:r w:rsidRPr="004E6F4A">
        <w:rPr>
          <w:rFonts w:ascii="Times New Roman" w:hAnsi="Times New Roman"/>
          <w:i/>
          <w:lang w:eastAsia="ko-KR"/>
        </w:rPr>
        <w:t xml:space="preserve">Type II compression provides additional </w:t>
      </w:r>
      <w:r w:rsidR="001F4310">
        <w:rPr>
          <w:rFonts w:ascii="Times New Roman" w:hAnsi="Times New Roman"/>
          <w:i/>
          <w:lang w:eastAsia="ko-KR"/>
        </w:rPr>
        <w:t>flexibility</w:t>
      </w:r>
      <w:r w:rsidRPr="004E6F4A">
        <w:rPr>
          <w:rFonts w:ascii="Times New Roman" w:hAnsi="Times New Roman"/>
          <w:i/>
          <w:lang w:eastAsia="ko-KR"/>
        </w:rPr>
        <w:t xml:space="preserve"> for </w:t>
      </w:r>
      <w:r w:rsidR="006D247B" w:rsidRPr="004E6F4A">
        <w:rPr>
          <w:rFonts w:ascii="Times New Roman" w:hAnsi="Times New Roman"/>
          <w:i/>
          <w:lang w:eastAsia="ko-KR"/>
        </w:rPr>
        <w:t>throughput</w:t>
      </w:r>
      <w:r w:rsidRPr="004E6F4A">
        <w:rPr>
          <w:rFonts w:ascii="Times New Roman" w:hAnsi="Times New Roman"/>
          <w:i/>
          <w:lang w:eastAsia="ko-KR"/>
        </w:rPr>
        <w:t>-overhead tradeoff</w:t>
      </w:r>
    </w:p>
    <w:p w14:paraId="736F6C1F" w14:textId="5DDD7019" w:rsidR="002F3DEF" w:rsidRDefault="002F3DEF" w:rsidP="002F3DEF">
      <w:pPr>
        <w:pStyle w:val="ListParagraph"/>
        <w:numPr>
          <w:ilvl w:val="1"/>
          <w:numId w:val="46"/>
        </w:numPr>
        <w:tabs>
          <w:tab w:val="left" w:pos="4253"/>
          <w:tab w:val="left" w:pos="9781"/>
        </w:tabs>
        <w:rPr>
          <w:rFonts w:ascii="Times New Roman" w:hAnsi="Times New Roman"/>
          <w:i/>
          <w:lang w:eastAsia="ko-KR"/>
        </w:rPr>
      </w:pPr>
      <w:r w:rsidRPr="004E6F4A">
        <w:rPr>
          <w:rFonts w:ascii="Times New Roman" w:hAnsi="Times New Roman"/>
          <w:i/>
          <w:lang w:eastAsia="ko-KR"/>
        </w:rPr>
        <w:t>Further study is needed to improve the performance of compression scheme</w:t>
      </w:r>
    </w:p>
    <w:p w14:paraId="18097946" w14:textId="4BC4CB57" w:rsidR="00B01B89" w:rsidRDefault="000C0884" w:rsidP="000C0884">
      <w:pPr>
        <w:tabs>
          <w:tab w:val="left" w:pos="4253"/>
          <w:tab w:val="left" w:pos="9781"/>
        </w:tabs>
        <w:spacing w:before="240"/>
        <w:jc w:val="both"/>
        <w:rPr>
          <w:sz w:val="22"/>
          <w:lang w:eastAsia="ko-KR"/>
        </w:rPr>
      </w:pPr>
      <w:r w:rsidRPr="000C0884">
        <w:rPr>
          <w:sz w:val="22"/>
          <w:lang w:eastAsia="ko-KR"/>
        </w:rPr>
        <w:lastRenderedPageBreak/>
        <w:t xml:space="preserve">With the current Type II CSI framework, </w:t>
      </w:r>
      <w:r>
        <w:rPr>
          <w:sz w:val="22"/>
          <w:lang w:eastAsia="ko-KR"/>
        </w:rPr>
        <w:t xml:space="preserve">the overhead of rank 2 PMI reporting is two times higher comparing to the overhead of rank 1 PMI reporting. In order to increase the efficiency of resource allocation and improve the performance it is beneficial </w:t>
      </w:r>
      <w:r w:rsidR="007F4ECB">
        <w:rPr>
          <w:sz w:val="22"/>
          <w:lang w:eastAsia="ko-KR"/>
        </w:rPr>
        <w:t>to use codebook configuration with comparable overhead of rank 1 and rank 2 CSI reporting.</w:t>
      </w:r>
      <w:r w:rsidR="000A299B">
        <w:rPr>
          <w:sz w:val="22"/>
          <w:lang w:eastAsia="ko-KR"/>
        </w:rPr>
        <w:t xml:space="preserve"> The simple way to control CSI reporting overhead for Type II codebooks is to change parameter </w:t>
      </w:r>
      <w:r w:rsidR="000A299B" w:rsidRPr="000A299B">
        <w:rPr>
          <w:i/>
          <w:sz w:val="22"/>
          <w:lang w:eastAsia="ko-KR"/>
        </w:rPr>
        <w:t>L</w:t>
      </w:r>
      <w:r w:rsidR="000A299B">
        <w:rPr>
          <w:sz w:val="22"/>
          <w:lang w:eastAsia="ko-KR"/>
        </w:rPr>
        <w:t>.</w:t>
      </w:r>
      <w:r w:rsidR="007F4ECB">
        <w:rPr>
          <w:sz w:val="22"/>
          <w:lang w:eastAsia="ko-KR"/>
        </w:rPr>
        <w:t xml:space="preserve"> Thus, we propose </w:t>
      </w:r>
      <w:r>
        <w:rPr>
          <w:sz w:val="22"/>
          <w:lang w:eastAsia="ko-KR"/>
        </w:rPr>
        <w:t xml:space="preserve">to support separate configuration of number of spatial beams in linear combination </w:t>
      </w:r>
      <w:r w:rsidRPr="003B0B3D">
        <w:rPr>
          <w:i/>
          <w:sz w:val="22"/>
          <w:lang w:eastAsia="ko-KR"/>
        </w:rPr>
        <w:t>L</w:t>
      </w:r>
      <w:r>
        <w:rPr>
          <w:sz w:val="22"/>
          <w:lang w:eastAsia="ko-KR"/>
        </w:rPr>
        <w:t xml:space="preserve"> for rank 1 and 2.</w:t>
      </w:r>
      <w:r w:rsidR="003B0B3D">
        <w:rPr>
          <w:sz w:val="22"/>
          <w:lang w:eastAsia="ko-KR"/>
        </w:rPr>
        <w:t xml:space="preserve"> </w:t>
      </w:r>
    </w:p>
    <w:p w14:paraId="02D35788" w14:textId="4768A013" w:rsidR="000C0884" w:rsidRPr="000C0884" w:rsidRDefault="000C0884" w:rsidP="000C0884">
      <w:pPr>
        <w:tabs>
          <w:tab w:val="left" w:pos="4253"/>
          <w:tab w:val="left" w:pos="9781"/>
        </w:tabs>
        <w:spacing w:before="240"/>
        <w:jc w:val="both"/>
        <w:rPr>
          <w:b/>
          <w:i/>
          <w:sz w:val="22"/>
          <w:lang w:eastAsia="ko-KR"/>
        </w:rPr>
      </w:pPr>
      <w:r w:rsidRPr="000C0884">
        <w:rPr>
          <w:b/>
          <w:i/>
          <w:sz w:val="22"/>
          <w:lang w:eastAsia="ko-KR"/>
        </w:rPr>
        <w:t>Proposal 4</w:t>
      </w:r>
    </w:p>
    <w:p w14:paraId="433445DA" w14:textId="785F61C5" w:rsidR="000C0884" w:rsidRPr="000C0884" w:rsidRDefault="000C0884" w:rsidP="005579EF">
      <w:pPr>
        <w:pStyle w:val="ListParagraph"/>
        <w:numPr>
          <w:ilvl w:val="0"/>
          <w:numId w:val="46"/>
        </w:numPr>
        <w:tabs>
          <w:tab w:val="left" w:pos="4253"/>
          <w:tab w:val="left" w:pos="9781"/>
        </w:tabs>
        <w:jc w:val="both"/>
        <w:rPr>
          <w:rFonts w:ascii="Times New Roman" w:hAnsi="Times New Roman"/>
          <w:i/>
          <w:lang w:eastAsia="ko-KR"/>
        </w:rPr>
      </w:pPr>
      <w:r w:rsidRPr="000C0884">
        <w:rPr>
          <w:rFonts w:ascii="Times New Roman" w:hAnsi="Times New Roman"/>
          <w:i/>
          <w:lang w:eastAsia="ko-KR"/>
        </w:rPr>
        <w:t>Support separate configuration of number of spatial beams in linear combination L for rank 1 and rank 2</w:t>
      </w:r>
    </w:p>
    <w:p w14:paraId="3C844CD5" w14:textId="3ECF7DEC" w:rsidR="00FA6748" w:rsidRDefault="00C015DD" w:rsidP="00CF623B">
      <w:pPr>
        <w:pStyle w:val="Heading2"/>
        <w:rPr>
          <w:sz w:val="28"/>
        </w:rPr>
      </w:pPr>
      <w:r>
        <w:rPr>
          <w:sz w:val="28"/>
        </w:rPr>
        <w:t>2.</w:t>
      </w:r>
      <w:r w:rsidR="00CF623B">
        <w:rPr>
          <w:sz w:val="28"/>
        </w:rPr>
        <w:t>2</w:t>
      </w:r>
      <w:r w:rsidR="00A561B1">
        <w:rPr>
          <w:sz w:val="28"/>
        </w:rPr>
        <w:t xml:space="preserve">. </w:t>
      </w:r>
      <w:r w:rsidR="006F0407" w:rsidRPr="006F0407">
        <w:rPr>
          <w:sz w:val="28"/>
        </w:rPr>
        <w:t>Support of higher ranks for Type II CSI</w:t>
      </w:r>
    </w:p>
    <w:p w14:paraId="02087233" w14:textId="28AA74BC" w:rsidR="005E38B8" w:rsidRDefault="005E38B8" w:rsidP="00306802">
      <w:pPr>
        <w:jc w:val="both"/>
        <w:rPr>
          <w:sz w:val="22"/>
        </w:rPr>
      </w:pPr>
      <w:r w:rsidRPr="005E38B8">
        <w:rPr>
          <w:sz w:val="22"/>
        </w:rPr>
        <w:t xml:space="preserve">At the last RAN1 meeting [2] </w:t>
      </w:r>
      <w:r>
        <w:rPr>
          <w:sz w:val="22"/>
        </w:rPr>
        <w:t>it was agreed that s</w:t>
      </w:r>
      <w:r w:rsidRPr="005E38B8">
        <w:rPr>
          <w:sz w:val="22"/>
        </w:rPr>
        <w:t>imple extension of Rel.15 Type II without any additional optimization is ruled out</w:t>
      </w:r>
      <w:r>
        <w:rPr>
          <w:sz w:val="22"/>
        </w:rPr>
        <w:t xml:space="preserve">. The </w:t>
      </w:r>
      <w:r w:rsidR="00746DF2">
        <w:rPr>
          <w:sz w:val="22"/>
        </w:rPr>
        <w:t>intention of</w:t>
      </w:r>
      <w:r>
        <w:rPr>
          <w:sz w:val="22"/>
        </w:rPr>
        <w:t xml:space="preserve"> the above agreement is</w:t>
      </w:r>
      <w:r w:rsidR="00746DF2">
        <w:rPr>
          <w:sz w:val="22"/>
        </w:rPr>
        <w:t xml:space="preserve"> to avoid very</w:t>
      </w:r>
      <w:r>
        <w:rPr>
          <w:sz w:val="22"/>
        </w:rPr>
        <w:t xml:space="preserve"> high</w:t>
      </w:r>
      <w:r w:rsidR="00746DF2">
        <w:rPr>
          <w:sz w:val="22"/>
        </w:rPr>
        <w:t xml:space="preserve"> CSI</w:t>
      </w:r>
      <w:r>
        <w:rPr>
          <w:sz w:val="22"/>
        </w:rPr>
        <w:t xml:space="preserve"> </w:t>
      </w:r>
      <w:r w:rsidRPr="00306802">
        <w:rPr>
          <w:sz w:val="22"/>
          <w:szCs w:val="22"/>
        </w:rPr>
        <w:t>reporting overhead (</w:t>
      </w:r>
      <w:r w:rsidRPr="00306802">
        <w:rPr>
          <w:sz w:val="22"/>
          <w:szCs w:val="22"/>
          <w:lang w:val="en-US"/>
        </w:rPr>
        <w:t>~3-4x overhead over rank-1</w:t>
      </w:r>
      <w:r w:rsidRPr="00306802">
        <w:rPr>
          <w:sz w:val="22"/>
          <w:szCs w:val="22"/>
        </w:rPr>
        <w:t>).</w:t>
      </w:r>
      <w:r>
        <w:rPr>
          <w:sz w:val="22"/>
        </w:rPr>
        <w:t xml:space="preserve"> </w:t>
      </w:r>
      <w:r w:rsidR="00C521DF">
        <w:rPr>
          <w:sz w:val="22"/>
        </w:rPr>
        <w:t>In our company contribution [6]</w:t>
      </w:r>
      <w:r w:rsidR="0053463B">
        <w:rPr>
          <w:sz w:val="22"/>
        </w:rPr>
        <w:t xml:space="preserve"> we proposed to consider configuration of maximum number of non-zero beam combining coefficients to limit the maximum overhead of CSI report. The above method can be </w:t>
      </w:r>
      <w:r w:rsidR="00CC2F6F">
        <w:rPr>
          <w:sz w:val="22"/>
        </w:rPr>
        <w:t>used</w:t>
      </w:r>
      <w:r w:rsidR="0053463B">
        <w:rPr>
          <w:sz w:val="22"/>
        </w:rPr>
        <w:t xml:space="preserve"> for rank 3-4 codebook</w:t>
      </w:r>
      <w:r w:rsidR="005421CF">
        <w:rPr>
          <w:sz w:val="22"/>
        </w:rPr>
        <w:t>s</w:t>
      </w:r>
      <w:r w:rsidR="0053463B">
        <w:rPr>
          <w:sz w:val="22"/>
        </w:rPr>
        <w:t xml:space="preserve"> based on Rel. 15 Type II design</w:t>
      </w:r>
      <w:r w:rsidR="00576AC6">
        <w:rPr>
          <w:sz w:val="22"/>
        </w:rPr>
        <w:t xml:space="preserve"> to extend Type II codebook design for rank 3-4</w:t>
      </w:r>
      <w:r w:rsidR="00561932">
        <w:rPr>
          <w:sz w:val="22"/>
        </w:rPr>
        <w:t xml:space="preserve"> with limited number of bits</w:t>
      </w:r>
      <w:r w:rsidR="006D6A4C">
        <w:rPr>
          <w:sz w:val="22"/>
        </w:rPr>
        <w:t xml:space="preserve"> required</w:t>
      </w:r>
      <w:r w:rsidR="00561932">
        <w:rPr>
          <w:sz w:val="22"/>
        </w:rPr>
        <w:t xml:space="preserve"> for </w:t>
      </w:r>
      <w:r w:rsidR="00FE7344">
        <w:rPr>
          <w:sz w:val="22"/>
        </w:rPr>
        <w:t>PMI</w:t>
      </w:r>
      <w:r w:rsidR="00561932">
        <w:rPr>
          <w:sz w:val="22"/>
        </w:rPr>
        <w:t xml:space="preserve"> reporting</w:t>
      </w:r>
      <w:r w:rsidR="0053463B">
        <w:rPr>
          <w:sz w:val="22"/>
        </w:rPr>
        <w:t xml:space="preserve">. </w:t>
      </w:r>
    </w:p>
    <w:p w14:paraId="4B0D7DDB" w14:textId="71927337" w:rsidR="00815E1A" w:rsidRPr="005E38B8" w:rsidRDefault="00815E1A" w:rsidP="00306802">
      <w:pPr>
        <w:jc w:val="both"/>
        <w:rPr>
          <w:sz w:val="22"/>
        </w:rPr>
      </w:pPr>
      <w:r>
        <w:rPr>
          <w:sz w:val="22"/>
        </w:rPr>
        <w:t xml:space="preserve">PMI overhead </w:t>
      </w:r>
      <w:r w:rsidR="00893B70">
        <w:rPr>
          <w:sz w:val="22"/>
        </w:rPr>
        <w:t>of the</w:t>
      </w:r>
      <w:r>
        <w:rPr>
          <w:sz w:val="22"/>
        </w:rPr>
        <w:t xml:space="preserve"> existing</w:t>
      </w:r>
      <w:r w:rsidR="009A5240">
        <w:rPr>
          <w:sz w:val="22"/>
        </w:rPr>
        <w:t xml:space="preserve"> rank 2</w:t>
      </w:r>
      <w:r w:rsidR="00893B70">
        <w:rPr>
          <w:sz w:val="22"/>
        </w:rPr>
        <w:t xml:space="preserve"> Type II codebook</w:t>
      </w:r>
      <w:r>
        <w:rPr>
          <w:sz w:val="22"/>
        </w:rPr>
        <w:t xml:space="preserve"> and </w:t>
      </w:r>
      <w:r w:rsidR="00893B70">
        <w:rPr>
          <w:sz w:val="22"/>
        </w:rPr>
        <w:t>extension of Type II codebook</w:t>
      </w:r>
      <w:r w:rsidR="009A5240">
        <w:rPr>
          <w:sz w:val="22"/>
        </w:rPr>
        <w:t xml:space="preserve"> for rank 4 with different number of beam combining coefficients are presented in figure 5</w:t>
      </w:r>
      <w:r w:rsidR="00384EEF">
        <w:rPr>
          <w:sz w:val="22"/>
        </w:rPr>
        <w:t>. For both rank 2 and rank 4 codebooks</w:t>
      </w:r>
      <w:r w:rsidR="00B6101F">
        <w:rPr>
          <w:sz w:val="22"/>
        </w:rPr>
        <w:t xml:space="preserve"> configuration with</w:t>
      </w:r>
      <w:r w:rsidR="00384EEF">
        <w:rPr>
          <w:sz w:val="22"/>
        </w:rPr>
        <w:t xml:space="preserve"> 32 CSI-RS ports </w:t>
      </w:r>
      <w:r w:rsidR="00A74801">
        <w:rPr>
          <w:sz w:val="22"/>
        </w:rPr>
        <w:t>and</w:t>
      </w:r>
      <w:r w:rsidR="00384EEF">
        <w:rPr>
          <w:sz w:val="22"/>
        </w:rPr>
        <w:t xml:space="preserve"> </w:t>
      </w:r>
      <w:r w:rsidR="00384EEF" w:rsidRPr="00A74801">
        <w:rPr>
          <w:i/>
          <w:sz w:val="22"/>
        </w:rPr>
        <w:t>L</w:t>
      </w:r>
      <w:r w:rsidR="00384EEF">
        <w:rPr>
          <w:sz w:val="22"/>
        </w:rPr>
        <w:t xml:space="preserve"> = 4 is </w:t>
      </w:r>
      <w:r w:rsidR="00B6101F">
        <w:rPr>
          <w:sz w:val="22"/>
        </w:rPr>
        <w:t>assumed</w:t>
      </w:r>
      <w:r w:rsidR="00384EEF">
        <w:rPr>
          <w:sz w:val="22"/>
        </w:rPr>
        <w:t xml:space="preserve">. Configuration of rank 2 codebook </w:t>
      </w:r>
      <w:r w:rsidR="000878FF">
        <w:rPr>
          <w:sz w:val="22"/>
        </w:rPr>
        <w:t>assumes</w:t>
      </w:r>
      <w:r w:rsidR="00384EEF">
        <w:rPr>
          <w:sz w:val="22"/>
        </w:rPr>
        <w:t xml:space="preserve"> 8-PSK phase quantization and SB amplitude reporting.</w:t>
      </w:r>
      <w:r w:rsidR="00C67CDA">
        <w:rPr>
          <w:sz w:val="22"/>
        </w:rPr>
        <w:t xml:space="preserve"> 8-PSK phase with WB amplitude reporting </w:t>
      </w:r>
      <w:r w:rsidR="0027323C">
        <w:rPr>
          <w:sz w:val="22"/>
        </w:rPr>
        <w:t>is</w:t>
      </w:r>
      <w:r w:rsidR="00C67CDA">
        <w:rPr>
          <w:sz w:val="22"/>
        </w:rPr>
        <w:t xml:space="preserve"> considered for rank 4 codebook. </w:t>
      </w:r>
    </w:p>
    <w:p w14:paraId="4875CB67" w14:textId="107C5900" w:rsidR="00CF623B" w:rsidRDefault="00815E1A" w:rsidP="000A68A5">
      <w:pPr>
        <w:jc w:val="center"/>
      </w:pPr>
      <w:r>
        <w:rPr>
          <w:noProof/>
          <w:lang w:val="ru-RU" w:eastAsia="ru-RU"/>
        </w:rPr>
        <w:drawing>
          <wp:inline distT="0" distB="0" distL="0" distR="0" wp14:anchorId="0D6F1DFC" wp14:editId="313AFD49">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4423942" w14:textId="4A1424A1" w:rsidR="009A5240" w:rsidRDefault="009A5240" w:rsidP="000A68A5">
      <w:pPr>
        <w:jc w:val="center"/>
        <w:rPr>
          <w:sz w:val="22"/>
          <w:szCs w:val="22"/>
        </w:rPr>
      </w:pPr>
      <w:r w:rsidRPr="009A5240">
        <w:rPr>
          <w:b/>
          <w:sz w:val="22"/>
          <w:szCs w:val="22"/>
        </w:rPr>
        <w:t>Figure 5.</w:t>
      </w:r>
      <w:r w:rsidRPr="009A5240">
        <w:rPr>
          <w:sz w:val="22"/>
          <w:szCs w:val="22"/>
        </w:rPr>
        <w:t xml:space="preserve"> PMI overhead </w:t>
      </w:r>
      <w:r w:rsidR="00893B70">
        <w:rPr>
          <w:sz w:val="22"/>
          <w:szCs w:val="22"/>
        </w:rPr>
        <w:t>of the</w:t>
      </w:r>
      <w:r w:rsidRPr="009A5240">
        <w:rPr>
          <w:sz w:val="22"/>
          <w:szCs w:val="22"/>
        </w:rPr>
        <w:t xml:space="preserve"> e</w:t>
      </w:r>
      <w:r w:rsidR="00893B70">
        <w:rPr>
          <w:sz w:val="22"/>
          <w:szCs w:val="22"/>
        </w:rPr>
        <w:t>xisting rank 2 Type II codebook</w:t>
      </w:r>
      <w:r w:rsidRPr="009A5240">
        <w:rPr>
          <w:sz w:val="22"/>
          <w:szCs w:val="22"/>
        </w:rPr>
        <w:t xml:space="preserve"> an</w:t>
      </w:r>
      <w:r w:rsidR="00893B70">
        <w:rPr>
          <w:sz w:val="22"/>
          <w:szCs w:val="22"/>
        </w:rPr>
        <w:t xml:space="preserve">d </w:t>
      </w:r>
      <w:r w:rsidR="00357414" w:rsidRPr="009A5240">
        <w:rPr>
          <w:sz w:val="22"/>
          <w:szCs w:val="22"/>
        </w:rPr>
        <w:t>rank 4</w:t>
      </w:r>
      <w:r w:rsidR="00893B70">
        <w:rPr>
          <w:sz w:val="22"/>
          <w:szCs w:val="22"/>
        </w:rPr>
        <w:t xml:space="preserve"> Type II codebook</w:t>
      </w:r>
      <w:r w:rsidRPr="009A5240">
        <w:rPr>
          <w:sz w:val="22"/>
          <w:szCs w:val="22"/>
        </w:rPr>
        <w:t xml:space="preserve"> with different number of beam combining coefficients</w:t>
      </w:r>
    </w:p>
    <w:p w14:paraId="200914B0" w14:textId="139FDF96" w:rsidR="00384EEF" w:rsidRDefault="00384EEF" w:rsidP="00C67CDA">
      <w:pPr>
        <w:jc w:val="both"/>
        <w:rPr>
          <w:sz w:val="22"/>
          <w:szCs w:val="22"/>
        </w:rPr>
      </w:pPr>
      <w:r>
        <w:rPr>
          <w:sz w:val="22"/>
          <w:szCs w:val="22"/>
        </w:rPr>
        <w:t xml:space="preserve">As it can be seen from the above overhead </w:t>
      </w:r>
      <w:r w:rsidR="00F34CE2">
        <w:rPr>
          <w:sz w:val="22"/>
          <w:szCs w:val="22"/>
        </w:rPr>
        <w:t>comparison,</w:t>
      </w:r>
      <w:r w:rsidR="007C111E">
        <w:rPr>
          <w:sz w:val="22"/>
          <w:szCs w:val="22"/>
        </w:rPr>
        <w:t xml:space="preserve"> overhead of rank 4 Type II</w:t>
      </w:r>
      <w:r w:rsidR="00F34CE2">
        <w:rPr>
          <w:sz w:val="22"/>
          <w:szCs w:val="22"/>
        </w:rPr>
        <w:t xml:space="preserve"> codebook with L = 4 can be even lower comparing to overhead of PMI reporting with rank 2 Type II codebook. </w:t>
      </w:r>
      <w:r w:rsidR="00C67CDA">
        <w:rPr>
          <w:sz w:val="22"/>
          <w:szCs w:val="22"/>
        </w:rPr>
        <w:t>It c</w:t>
      </w:r>
      <w:r w:rsidR="007C111E">
        <w:rPr>
          <w:sz w:val="22"/>
          <w:szCs w:val="22"/>
        </w:rPr>
        <w:t>an be noted that rank 4 Type II</w:t>
      </w:r>
      <w:r w:rsidR="00C67CDA">
        <w:rPr>
          <w:sz w:val="22"/>
          <w:szCs w:val="22"/>
        </w:rPr>
        <w:t xml:space="preserve"> codebook with 16 non-zero beam combining coefficients achieves similar overhead comparing to rank 2 Type II codebook. Rank 4 PMI with up to 16 non-zero beam combining coefficients allow to do independent beam selection per </w:t>
      </w:r>
      <w:r w:rsidR="002A76CC">
        <w:rPr>
          <w:sz w:val="22"/>
          <w:szCs w:val="22"/>
        </w:rPr>
        <w:t>layer</w:t>
      </w:r>
      <w:r w:rsidR="00C67CDA">
        <w:rPr>
          <w:sz w:val="22"/>
          <w:szCs w:val="22"/>
        </w:rPr>
        <w:t xml:space="preserve"> with up to 2 beams in linear combination per </w:t>
      </w:r>
      <w:r w:rsidR="002A76CC">
        <w:rPr>
          <w:sz w:val="22"/>
          <w:szCs w:val="22"/>
        </w:rPr>
        <w:t>layer</w:t>
      </w:r>
      <w:r w:rsidR="00C67CDA">
        <w:rPr>
          <w:sz w:val="22"/>
          <w:szCs w:val="22"/>
        </w:rPr>
        <w:t xml:space="preserve"> which may provide sufficient performance gains over Type I rank 4 codebook. Thus, we propose to consider extension of Type II codebook design to rank 3-4 with configuration of maximum number of beam combining coefficients</w:t>
      </w:r>
      <w:r w:rsidR="00543A8B">
        <w:rPr>
          <w:sz w:val="22"/>
          <w:szCs w:val="22"/>
        </w:rPr>
        <w:t xml:space="preserve"> as baseline scheme for performance comparison.</w:t>
      </w:r>
    </w:p>
    <w:p w14:paraId="6CF48CB3" w14:textId="1746E615" w:rsidR="00C67CDA" w:rsidRPr="00543A8B" w:rsidRDefault="00C67CDA" w:rsidP="00C67CDA">
      <w:pPr>
        <w:jc w:val="both"/>
        <w:rPr>
          <w:b/>
          <w:i/>
          <w:sz w:val="22"/>
          <w:szCs w:val="22"/>
        </w:rPr>
      </w:pPr>
      <w:r w:rsidRPr="00543A8B">
        <w:rPr>
          <w:b/>
          <w:i/>
          <w:sz w:val="22"/>
          <w:szCs w:val="22"/>
        </w:rPr>
        <w:t>Proposal 5</w:t>
      </w:r>
    </w:p>
    <w:p w14:paraId="15F57738" w14:textId="5421D42D" w:rsidR="00C67CDA" w:rsidRPr="00543A8B" w:rsidRDefault="00543A8B" w:rsidP="00C67CDA">
      <w:pPr>
        <w:pStyle w:val="ListParagraph"/>
        <w:numPr>
          <w:ilvl w:val="0"/>
          <w:numId w:val="46"/>
        </w:numPr>
        <w:jc w:val="both"/>
        <w:rPr>
          <w:rFonts w:ascii="Times New Roman" w:hAnsi="Times New Roman"/>
          <w:i/>
        </w:rPr>
      </w:pPr>
      <w:r w:rsidRPr="00543A8B">
        <w:rPr>
          <w:rFonts w:ascii="Times New Roman" w:hAnsi="Times New Roman"/>
          <w:i/>
        </w:rPr>
        <w:lastRenderedPageBreak/>
        <w:t>Consider extension of Type II codebook design to rank 3-4 with configuration of maximum number of beam combining coefficients as baseline scheme for performance comparison</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3889031F" w14:textId="21BD7713" w:rsidR="00405A60" w:rsidRDefault="00405A60" w:rsidP="00CF623B">
      <w:pPr>
        <w:jc w:val="both"/>
        <w:rPr>
          <w:sz w:val="22"/>
          <w:szCs w:val="22"/>
          <w:lang w:val="en-US"/>
        </w:rPr>
      </w:pPr>
      <w:r>
        <w:rPr>
          <w:sz w:val="22"/>
          <w:szCs w:val="22"/>
          <w:lang w:val="en-US"/>
        </w:rPr>
        <w:t xml:space="preserve">In this contribution enhancements to CSI for MU-MIMO are discussed including </w:t>
      </w:r>
      <w:r w:rsidRPr="00405A60">
        <w:rPr>
          <w:sz w:val="22"/>
          <w:szCs w:val="22"/>
          <w:lang w:val="en-US"/>
        </w:rPr>
        <w:t>overhead reduction for Type II CSI</w:t>
      </w:r>
      <w:r>
        <w:rPr>
          <w:sz w:val="22"/>
          <w:szCs w:val="22"/>
          <w:lang w:val="en-US"/>
        </w:rPr>
        <w:t xml:space="preserve"> and</w:t>
      </w:r>
      <w:r w:rsidRPr="00405A60">
        <w:rPr>
          <w:sz w:val="22"/>
          <w:szCs w:val="22"/>
          <w:lang w:val="en-US"/>
        </w:rPr>
        <w:t xml:space="preserve"> the support of higher ranks for Type II CSI</w:t>
      </w:r>
      <w:r>
        <w:rPr>
          <w:sz w:val="22"/>
          <w:szCs w:val="22"/>
          <w:lang w:val="en-US"/>
        </w:rPr>
        <w:t>. The following proposals and observations were made</w:t>
      </w:r>
      <w:r w:rsidR="00D96DF2">
        <w:rPr>
          <w:sz w:val="22"/>
          <w:szCs w:val="22"/>
          <w:lang w:val="en-US"/>
        </w:rPr>
        <w:t>.</w:t>
      </w:r>
    </w:p>
    <w:p w14:paraId="6F86AF86" w14:textId="77777777" w:rsidR="00D96DF2" w:rsidRPr="00072939" w:rsidRDefault="00D96DF2" w:rsidP="00D96DF2">
      <w:pPr>
        <w:jc w:val="both"/>
        <w:rPr>
          <w:b/>
          <w:i/>
          <w:sz w:val="22"/>
          <w:szCs w:val="22"/>
          <w:lang w:val="en-US" w:eastAsia="ko-KR"/>
        </w:rPr>
      </w:pPr>
      <w:r w:rsidRPr="00072939">
        <w:rPr>
          <w:b/>
          <w:i/>
          <w:sz w:val="22"/>
          <w:szCs w:val="22"/>
          <w:lang w:val="en-US" w:eastAsia="ko-KR"/>
        </w:rPr>
        <w:t>Proposal 1</w:t>
      </w:r>
    </w:p>
    <w:p w14:paraId="1D088F02" w14:textId="7F84994F" w:rsidR="00D96DF2" w:rsidRPr="003F6583" w:rsidRDefault="00D96DF2" w:rsidP="00D96DF2">
      <w:pPr>
        <w:pStyle w:val="ListParagraph"/>
        <w:numPr>
          <w:ilvl w:val="0"/>
          <w:numId w:val="45"/>
        </w:numPr>
        <w:jc w:val="both"/>
        <w:rPr>
          <w:rFonts w:ascii="Times New Roman" w:hAnsi="Times New Roman"/>
          <w:i/>
          <w:lang w:eastAsia="ko-KR"/>
        </w:rPr>
      </w:pPr>
      <w:r>
        <w:rPr>
          <w:rFonts w:ascii="Times New Roman" w:hAnsi="Times New Roman"/>
          <w:i/>
          <w:lang w:eastAsia="ko-KR"/>
        </w:rPr>
        <w:t>Study</w:t>
      </w:r>
      <w:r w:rsidRPr="003F6583">
        <w:rPr>
          <w:rFonts w:ascii="Times New Roman" w:hAnsi="Times New Roman"/>
          <w:i/>
          <w:lang w:eastAsia="ko-KR"/>
        </w:rPr>
        <w:t xml:space="preserve"> overhead reduction schemes based on compression of space-frequency matrix</w:t>
      </w:r>
    </w:p>
    <w:p w14:paraId="6C6305C8" w14:textId="77777777" w:rsidR="00D96DF2" w:rsidRPr="00FD0121" w:rsidRDefault="00D96DF2" w:rsidP="00D96DF2">
      <w:pPr>
        <w:pStyle w:val="ListParagraph"/>
        <w:numPr>
          <w:ilvl w:val="1"/>
          <w:numId w:val="45"/>
        </w:numPr>
        <w:jc w:val="both"/>
        <w:rPr>
          <w:rFonts w:ascii="Times New Roman" w:hAnsi="Times New Roman"/>
          <w:i/>
          <w:lang w:eastAsia="ko-KR"/>
        </w:rPr>
      </w:pPr>
      <w:r w:rsidRPr="003F6583">
        <w:rPr>
          <w:rFonts w:ascii="Times New Roman" w:hAnsi="Times New Roman"/>
          <w:i/>
          <w:lang w:eastAsia="ko-KR"/>
        </w:rPr>
        <w:t xml:space="preserve">Space frequency matrix </w:t>
      </w:r>
      <w:r w:rsidRPr="003F6583">
        <w:rPr>
          <w:rFonts w:ascii="Times New Roman" w:hAnsi="Times New Roman"/>
          <w:i/>
          <w:color w:val="000000"/>
          <w:lang w:eastAsia="en-GB"/>
        </w:rPr>
        <w:t>contains beam combining coefficients</w:t>
      </w:r>
      <w:r w:rsidRPr="003F6583">
        <w:rPr>
          <w:rFonts w:ascii="Times New Roman" w:hAnsi="Times New Roman"/>
          <w:i/>
          <w:color w:val="000000"/>
          <w:lang w:val="en-GB" w:eastAsia="en-GB"/>
        </w:rPr>
        <w:t xml:space="preserve"> for a set of frequency resources for a spatial layer</w:t>
      </w:r>
    </w:p>
    <w:p w14:paraId="57EC0DA4" w14:textId="77777777" w:rsidR="00D96DF2" w:rsidRPr="00072939" w:rsidRDefault="00D96DF2" w:rsidP="00D96DF2">
      <w:pPr>
        <w:jc w:val="both"/>
        <w:rPr>
          <w:b/>
          <w:i/>
          <w:sz w:val="22"/>
          <w:szCs w:val="22"/>
          <w:lang w:val="en-US" w:eastAsia="ko-KR"/>
        </w:rPr>
      </w:pPr>
      <w:r w:rsidRPr="00072939">
        <w:rPr>
          <w:b/>
          <w:i/>
          <w:sz w:val="22"/>
          <w:szCs w:val="22"/>
          <w:lang w:val="en-US" w:eastAsia="ko-KR"/>
        </w:rPr>
        <w:t xml:space="preserve">Proposal </w:t>
      </w:r>
      <w:r>
        <w:rPr>
          <w:b/>
          <w:i/>
          <w:sz w:val="22"/>
          <w:szCs w:val="22"/>
          <w:lang w:val="en-US" w:eastAsia="ko-KR"/>
        </w:rPr>
        <w:t>2</w:t>
      </w:r>
    </w:p>
    <w:p w14:paraId="15D43F72" w14:textId="77777777" w:rsidR="00D96DF2" w:rsidRDefault="00D96DF2" w:rsidP="0068725C">
      <w:pPr>
        <w:pStyle w:val="ListParagraph"/>
        <w:numPr>
          <w:ilvl w:val="0"/>
          <w:numId w:val="45"/>
        </w:numPr>
        <w:jc w:val="both"/>
        <w:rPr>
          <w:rFonts w:ascii="Times New Roman" w:hAnsi="Times New Roman"/>
          <w:lang w:eastAsia="ko-KR"/>
        </w:rPr>
      </w:pPr>
      <w:r>
        <w:rPr>
          <w:rFonts w:ascii="Times New Roman" w:hAnsi="Times New Roman"/>
          <w:i/>
          <w:lang w:eastAsia="ko-KR"/>
        </w:rPr>
        <w:t>Subband granularity of beam combining coefficients at the UE side is assumed for Type II CSI overhead reduction</w:t>
      </w:r>
      <w:r w:rsidRPr="008F3131">
        <w:rPr>
          <w:rFonts w:ascii="Times New Roman" w:hAnsi="Times New Roman"/>
          <w:i/>
          <w:lang w:eastAsia="ko-KR"/>
        </w:rPr>
        <w:t xml:space="preserve"> </w:t>
      </w:r>
    </w:p>
    <w:p w14:paraId="7D173769" w14:textId="77777777" w:rsidR="00D96DF2" w:rsidRPr="00BD5AD2" w:rsidRDefault="00D96DF2" w:rsidP="00D96DF2">
      <w:pPr>
        <w:spacing w:before="240"/>
        <w:jc w:val="both"/>
        <w:rPr>
          <w:b/>
          <w:i/>
          <w:sz w:val="22"/>
          <w:szCs w:val="22"/>
          <w:lang w:eastAsia="ko-KR"/>
        </w:rPr>
      </w:pPr>
      <w:r w:rsidRPr="00BD5AD2">
        <w:rPr>
          <w:b/>
          <w:i/>
          <w:sz w:val="22"/>
          <w:szCs w:val="22"/>
          <w:lang w:eastAsia="ko-KR"/>
        </w:rPr>
        <w:t>Proposal 3</w:t>
      </w:r>
    </w:p>
    <w:p w14:paraId="7EB5B64B" w14:textId="77777777" w:rsidR="00D96DF2" w:rsidRDefault="00D96DF2" w:rsidP="0068725C">
      <w:pPr>
        <w:pStyle w:val="ListParagraph"/>
        <w:numPr>
          <w:ilvl w:val="0"/>
          <w:numId w:val="45"/>
        </w:numPr>
        <w:jc w:val="both"/>
        <w:rPr>
          <w:rFonts w:ascii="Times New Roman" w:hAnsi="Times New Roman"/>
          <w:i/>
          <w:lang w:eastAsia="ko-KR"/>
        </w:rPr>
      </w:pPr>
      <w:r>
        <w:rPr>
          <w:rFonts w:ascii="Times New Roman" w:hAnsi="Times New Roman"/>
          <w:i/>
          <w:lang w:eastAsia="ko-KR"/>
        </w:rPr>
        <w:t>Study</w:t>
      </w:r>
      <w:r w:rsidRPr="00B15358">
        <w:rPr>
          <w:rFonts w:ascii="Times New Roman" w:hAnsi="Times New Roman"/>
          <w:i/>
          <w:lang w:eastAsia="ko-KR"/>
        </w:rPr>
        <w:t xml:space="preserve"> space-frequency matrix compression based on linear transformation using a subset of </w:t>
      </w:r>
      <w:r>
        <w:rPr>
          <w:rFonts w:ascii="Times New Roman" w:hAnsi="Times New Roman"/>
          <w:i/>
          <w:lang w:eastAsia="ko-KR"/>
        </w:rPr>
        <w:t>DFT</w:t>
      </w:r>
      <w:r w:rsidRPr="00B15358">
        <w:rPr>
          <w:rFonts w:ascii="Times New Roman" w:hAnsi="Times New Roman"/>
          <w:i/>
          <w:lang w:eastAsia="ko-KR"/>
        </w:rPr>
        <w:t xml:space="preserve"> vectors</w:t>
      </w:r>
    </w:p>
    <w:p w14:paraId="2AD89E7D" w14:textId="77777777" w:rsidR="00106B85" w:rsidRPr="004E6F4A" w:rsidRDefault="00106B85" w:rsidP="00106B85">
      <w:pPr>
        <w:tabs>
          <w:tab w:val="left" w:pos="4253"/>
          <w:tab w:val="left" w:pos="9781"/>
        </w:tabs>
        <w:spacing w:before="240"/>
        <w:rPr>
          <w:b/>
          <w:i/>
          <w:sz w:val="22"/>
          <w:lang w:val="en-US" w:eastAsia="ko-KR"/>
        </w:rPr>
      </w:pPr>
      <w:r w:rsidRPr="004E6F4A">
        <w:rPr>
          <w:b/>
          <w:i/>
          <w:sz w:val="22"/>
          <w:lang w:val="en-US" w:eastAsia="ko-KR"/>
        </w:rPr>
        <w:t>Observation 1</w:t>
      </w:r>
    </w:p>
    <w:p w14:paraId="5344F82D" w14:textId="77777777" w:rsidR="00106B85" w:rsidRPr="004E6F4A" w:rsidRDefault="00106B85" w:rsidP="0068725C">
      <w:pPr>
        <w:pStyle w:val="ListParagraph"/>
        <w:numPr>
          <w:ilvl w:val="0"/>
          <w:numId w:val="46"/>
        </w:numPr>
        <w:tabs>
          <w:tab w:val="left" w:pos="4253"/>
          <w:tab w:val="left" w:pos="9781"/>
        </w:tabs>
        <w:rPr>
          <w:rFonts w:ascii="Times New Roman" w:hAnsi="Times New Roman"/>
          <w:i/>
          <w:lang w:eastAsia="ko-KR"/>
        </w:rPr>
      </w:pPr>
      <w:r w:rsidRPr="004E6F4A">
        <w:rPr>
          <w:rFonts w:ascii="Times New Roman" w:hAnsi="Times New Roman"/>
          <w:i/>
          <w:lang w:eastAsia="ko-KR"/>
        </w:rPr>
        <w:t xml:space="preserve">Type II compression provides additional </w:t>
      </w:r>
      <w:r>
        <w:rPr>
          <w:rFonts w:ascii="Times New Roman" w:hAnsi="Times New Roman"/>
          <w:i/>
          <w:lang w:eastAsia="ko-KR"/>
        </w:rPr>
        <w:t>flexibility</w:t>
      </w:r>
      <w:r w:rsidRPr="004E6F4A">
        <w:rPr>
          <w:rFonts w:ascii="Times New Roman" w:hAnsi="Times New Roman"/>
          <w:i/>
          <w:lang w:eastAsia="ko-KR"/>
        </w:rPr>
        <w:t xml:space="preserve"> for throughput-overhead tradeoff</w:t>
      </w:r>
    </w:p>
    <w:p w14:paraId="6C09FA46" w14:textId="529ED7CF" w:rsidR="00106B85" w:rsidRPr="00106B85" w:rsidRDefault="00106B85" w:rsidP="00106B85">
      <w:pPr>
        <w:pStyle w:val="ListParagraph"/>
        <w:numPr>
          <w:ilvl w:val="1"/>
          <w:numId w:val="46"/>
        </w:numPr>
        <w:tabs>
          <w:tab w:val="left" w:pos="4253"/>
          <w:tab w:val="left" w:pos="9781"/>
        </w:tabs>
        <w:rPr>
          <w:rFonts w:ascii="Times New Roman" w:hAnsi="Times New Roman"/>
          <w:i/>
          <w:lang w:eastAsia="ko-KR"/>
        </w:rPr>
      </w:pPr>
      <w:r w:rsidRPr="004E6F4A">
        <w:rPr>
          <w:rFonts w:ascii="Times New Roman" w:hAnsi="Times New Roman"/>
          <w:i/>
          <w:lang w:eastAsia="ko-KR"/>
        </w:rPr>
        <w:t>Further study is needed to improve the performance of compression scheme</w:t>
      </w:r>
    </w:p>
    <w:p w14:paraId="516F3F43" w14:textId="77777777" w:rsidR="00D96DF2" w:rsidRPr="000C0884" w:rsidRDefault="00D96DF2" w:rsidP="00D96DF2">
      <w:pPr>
        <w:tabs>
          <w:tab w:val="left" w:pos="4253"/>
          <w:tab w:val="left" w:pos="9781"/>
        </w:tabs>
        <w:spacing w:before="240"/>
        <w:jc w:val="both"/>
        <w:rPr>
          <w:b/>
          <w:i/>
          <w:sz w:val="22"/>
          <w:lang w:eastAsia="ko-KR"/>
        </w:rPr>
      </w:pPr>
      <w:r w:rsidRPr="000C0884">
        <w:rPr>
          <w:b/>
          <w:i/>
          <w:sz w:val="22"/>
          <w:lang w:eastAsia="ko-KR"/>
        </w:rPr>
        <w:t>Proposal 4</w:t>
      </w:r>
    </w:p>
    <w:p w14:paraId="33DAC049" w14:textId="77777777" w:rsidR="00D96DF2" w:rsidRPr="000C0884" w:rsidRDefault="00D96DF2" w:rsidP="0068725C">
      <w:pPr>
        <w:pStyle w:val="ListParagraph"/>
        <w:numPr>
          <w:ilvl w:val="0"/>
          <w:numId w:val="46"/>
        </w:numPr>
        <w:tabs>
          <w:tab w:val="left" w:pos="4253"/>
          <w:tab w:val="left" w:pos="9781"/>
        </w:tabs>
        <w:spacing w:after="240"/>
        <w:jc w:val="both"/>
        <w:rPr>
          <w:rFonts w:ascii="Times New Roman" w:hAnsi="Times New Roman"/>
          <w:i/>
          <w:lang w:eastAsia="ko-KR"/>
        </w:rPr>
      </w:pPr>
      <w:r w:rsidRPr="000C0884">
        <w:rPr>
          <w:rFonts w:ascii="Times New Roman" w:hAnsi="Times New Roman"/>
          <w:i/>
          <w:lang w:eastAsia="ko-KR"/>
        </w:rPr>
        <w:t>Support separate configuration of number of spatial beams in linear combination L for rank 1 and rank 2</w:t>
      </w:r>
    </w:p>
    <w:p w14:paraId="688C3CD8" w14:textId="77777777" w:rsidR="00D96DF2" w:rsidRPr="00543A8B" w:rsidRDefault="00D96DF2" w:rsidP="00D96DF2">
      <w:pPr>
        <w:jc w:val="both"/>
        <w:rPr>
          <w:b/>
          <w:i/>
          <w:sz w:val="22"/>
          <w:szCs w:val="22"/>
        </w:rPr>
      </w:pPr>
      <w:r w:rsidRPr="00543A8B">
        <w:rPr>
          <w:b/>
          <w:i/>
          <w:sz w:val="22"/>
          <w:szCs w:val="22"/>
        </w:rPr>
        <w:t>Proposal 5</w:t>
      </w:r>
    </w:p>
    <w:p w14:paraId="0F0470D7" w14:textId="6790C83F" w:rsidR="00CF623B" w:rsidRPr="005A05EC" w:rsidRDefault="00D96DF2" w:rsidP="00CF623B">
      <w:pPr>
        <w:pStyle w:val="ListParagraph"/>
        <w:numPr>
          <w:ilvl w:val="0"/>
          <w:numId w:val="46"/>
        </w:numPr>
        <w:jc w:val="both"/>
        <w:rPr>
          <w:rFonts w:ascii="Times New Roman" w:hAnsi="Times New Roman"/>
          <w:i/>
        </w:rPr>
      </w:pPr>
      <w:r w:rsidRPr="00543A8B">
        <w:rPr>
          <w:rFonts w:ascii="Times New Roman" w:hAnsi="Times New Roman"/>
          <w:i/>
        </w:rPr>
        <w:t>Consider extension of Type II codebook design to rank 3-4 with configuration of maximum number of beam combining coefficients as baseline scheme for performance comparison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3750C219" w14:textId="60B7B755" w:rsidR="00CD2C6A" w:rsidRDefault="006F0407" w:rsidP="006F0407">
      <w:pPr>
        <w:numPr>
          <w:ilvl w:val="0"/>
          <w:numId w:val="2"/>
        </w:numPr>
        <w:rPr>
          <w:sz w:val="22"/>
          <w:lang w:eastAsia="zh-CN"/>
        </w:rPr>
      </w:pPr>
      <w:r w:rsidRPr="006F0407">
        <w:rPr>
          <w:sz w:val="22"/>
          <w:lang w:eastAsia="zh-CN"/>
        </w:rPr>
        <w:t>RP-181453</w:t>
      </w:r>
      <w:r>
        <w:rPr>
          <w:sz w:val="22"/>
          <w:lang w:eastAsia="zh-CN"/>
        </w:rPr>
        <w:t xml:space="preserve"> </w:t>
      </w:r>
      <w:r w:rsidRPr="006F0407">
        <w:rPr>
          <w:sz w:val="22"/>
          <w:lang w:eastAsia="zh-CN"/>
        </w:rPr>
        <w:t>WI Proposal on NR MIMO Enhancements</w:t>
      </w:r>
      <w:r>
        <w:rPr>
          <w:sz w:val="22"/>
          <w:lang w:eastAsia="zh-CN"/>
        </w:rPr>
        <w:t xml:space="preserve">, </w:t>
      </w:r>
      <w:r w:rsidRPr="006F0407">
        <w:rPr>
          <w:sz w:val="22"/>
          <w:lang w:eastAsia="zh-CN"/>
        </w:rPr>
        <w:t>Samsung</w:t>
      </w:r>
    </w:p>
    <w:p w14:paraId="6106F3A2" w14:textId="1844787C" w:rsidR="004A4A76" w:rsidRDefault="009A1861" w:rsidP="009A1861">
      <w:pPr>
        <w:numPr>
          <w:ilvl w:val="0"/>
          <w:numId w:val="2"/>
        </w:numPr>
        <w:rPr>
          <w:sz w:val="22"/>
          <w:lang w:eastAsia="zh-CN"/>
        </w:rPr>
      </w:pPr>
      <w:r w:rsidRPr="009A1861">
        <w:rPr>
          <w:sz w:val="22"/>
          <w:lang w:eastAsia="zh-CN"/>
        </w:rPr>
        <w:t>RAN1 Chairman’s Notes</w:t>
      </w:r>
      <w:r>
        <w:rPr>
          <w:sz w:val="22"/>
          <w:lang w:eastAsia="zh-CN"/>
        </w:rPr>
        <w:t xml:space="preserve">, </w:t>
      </w:r>
      <w:r w:rsidRPr="009A1861">
        <w:rPr>
          <w:sz w:val="22"/>
          <w:lang w:eastAsia="zh-CN"/>
        </w:rPr>
        <w:t>3GPP TSG RAN WG1 Meeting #94bis</w:t>
      </w:r>
      <w:r>
        <w:rPr>
          <w:sz w:val="22"/>
          <w:lang w:eastAsia="zh-CN"/>
        </w:rPr>
        <w:t xml:space="preserve">, </w:t>
      </w:r>
      <w:r w:rsidRPr="009A1861">
        <w:rPr>
          <w:sz w:val="22"/>
          <w:lang w:eastAsia="zh-CN"/>
        </w:rPr>
        <w:t>Chengdu, China, October 8th – 12th, 2018</w:t>
      </w:r>
    </w:p>
    <w:p w14:paraId="77DE3270" w14:textId="218677C6" w:rsidR="00752FA4" w:rsidRDefault="00752FA4" w:rsidP="009C5BB3">
      <w:pPr>
        <w:numPr>
          <w:ilvl w:val="0"/>
          <w:numId w:val="2"/>
        </w:numPr>
        <w:rPr>
          <w:sz w:val="22"/>
          <w:lang w:eastAsia="zh-CN"/>
        </w:rPr>
      </w:pPr>
      <w:r w:rsidRPr="00752FA4">
        <w:rPr>
          <w:sz w:val="22"/>
          <w:lang w:eastAsia="zh-CN"/>
        </w:rPr>
        <w:t>R1-1811654</w:t>
      </w:r>
      <w:r>
        <w:rPr>
          <w:sz w:val="22"/>
          <w:lang w:eastAsia="zh-CN"/>
        </w:rPr>
        <w:t xml:space="preserve"> </w:t>
      </w:r>
      <w:r w:rsidRPr="00752FA4">
        <w:rPr>
          <w:sz w:val="22"/>
          <w:lang w:eastAsia="zh-CN"/>
        </w:rPr>
        <w:t>Summary of CSI enhancement for MU-MIMO support</w:t>
      </w:r>
      <w:r>
        <w:rPr>
          <w:sz w:val="22"/>
          <w:lang w:eastAsia="zh-CN"/>
        </w:rPr>
        <w:t xml:space="preserve">, </w:t>
      </w:r>
      <w:r w:rsidR="009C5BB3" w:rsidRPr="009C5BB3">
        <w:rPr>
          <w:sz w:val="22"/>
          <w:lang w:eastAsia="zh-CN"/>
        </w:rPr>
        <w:t>Samsung</w:t>
      </w:r>
    </w:p>
    <w:p w14:paraId="30603546" w14:textId="2FA387CF" w:rsidR="00820C43" w:rsidRPr="00DC0669" w:rsidRDefault="00820C43" w:rsidP="00820C43">
      <w:pPr>
        <w:numPr>
          <w:ilvl w:val="0"/>
          <w:numId w:val="2"/>
        </w:numPr>
        <w:rPr>
          <w:sz w:val="22"/>
          <w:lang w:eastAsia="zh-CN"/>
        </w:rPr>
      </w:pPr>
      <w:r>
        <w:rPr>
          <w:sz w:val="22"/>
          <w:szCs w:val="22"/>
        </w:rPr>
        <w:t>R1-1</w:t>
      </w:r>
      <w:r>
        <w:rPr>
          <w:rFonts w:hint="eastAsia"/>
          <w:sz w:val="22"/>
          <w:szCs w:val="22"/>
          <w:lang w:eastAsia="zh-CN"/>
        </w:rPr>
        <w:t>81</w:t>
      </w:r>
      <w:r>
        <w:rPr>
          <w:sz w:val="22"/>
          <w:szCs w:val="22"/>
          <w:lang w:eastAsia="zh-CN"/>
        </w:rPr>
        <w:t xml:space="preserve">0219 </w:t>
      </w:r>
      <w:r w:rsidRPr="00820C43">
        <w:rPr>
          <w:sz w:val="22"/>
          <w:szCs w:val="22"/>
          <w:lang w:eastAsia="zh-CN"/>
        </w:rPr>
        <w:t>Type II CSI enhancements for MU-MIMO</w:t>
      </w:r>
      <w:r>
        <w:rPr>
          <w:sz w:val="22"/>
          <w:szCs w:val="22"/>
          <w:lang w:eastAsia="zh-CN"/>
        </w:rPr>
        <w:t>, ZTE</w:t>
      </w:r>
    </w:p>
    <w:p w14:paraId="26BA057F" w14:textId="6F4AE3C4" w:rsidR="00DC0669" w:rsidRDefault="00DC0669" w:rsidP="00DC0669">
      <w:pPr>
        <w:numPr>
          <w:ilvl w:val="0"/>
          <w:numId w:val="2"/>
        </w:numPr>
        <w:rPr>
          <w:sz w:val="22"/>
          <w:lang w:eastAsia="zh-CN"/>
        </w:rPr>
      </w:pPr>
      <w:r w:rsidRPr="00DC0669">
        <w:rPr>
          <w:sz w:val="22"/>
          <w:lang w:eastAsia="zh-CN"/>
        </w:rPr>
        <w:t>R1-1810103</w:t>
      </w:r>
      <w:r>
        <w:rPr>
          <w:sz w:val="22"/>
          <w:lang w:eastAsia="zh-CN"/>
        </w:rPr>
        <w:t xml:space="preserve"> </w:t>
      </w:r>
      <w:r w:rsidRPr="00DC0669">
        <w:rPr>
          <w:sz w:val="22"/>
          <w:lang w:eastAsia="zh-CN"/>
        </w:rPr>
        <w:t>Discussion on CSI enhancement for MU-MIMO</w:t>
      </w:r>
      <w:r>
        <w:rPr>
          <w:sz w:val="22"/>
          <w:lang w:eastAsia="zh-CN"/>
        </w:rPr>
        <w:t xml:space="preserve">, </w:t>
      </w:r>
      <w:r w:rsidRPr="00DC0669">
        <w:rPr>
          <w:sz w:val="22"/>
          <w:lang w:eastAsia="zh-CN"/>
        </w:rPr>
        <w:t>Huawei, HiSilicon</w:t>
      </w:r>
    </w:p>
    <w:p w14:paraId="2FFA773A" w14:textId="2EE237FC" w:rsidR="00DF334B" w:rsidRDefault="00DE2C67" w:rsidP="00DE2C67">
      <w:pPr>
        <w:numPr>
          <w:ilvl w:val="0"/>
          <w:numId w:val="2"/>
        </w:numPr>
        <w:rPr>
          <w:sz w:val="22"/>
          <w:lang w:eastAsia="zh-CN"/>
        </w:rPr>
      </w:pPr>
      <w:r w:rsidRPr="00DE2C67">
        <w:rPr>
          <w:sz w:val="22"/>
          <w:lang w:eastAsia="zh-CN"/>
        </w:rPr>
        <w:t>R1-1810789</w:t>
      </w:r>
      <w:r>
        <w:rPr>
          <w:sz w:val="22"/>
          <w:lang w:eastAsia="zh-CN"/>
        </w:rPr>
        <w:t xml:space="preserve"> </w:t>
      </w:r>
      <w:r w:rsidRPr="00DE2C67">
        <w:rPr>
          <w:sz w:val="22"/>
          <w:lang w:eastAsia="zh-CN"/>
        </w:rPr>
        <w:t>Discussion on CSI Enhancements</w:t>
      </w:r>
      <w:r>
        <w:rPr>
          <w:sz w:val="22"/>
          <w:lang w:eastAsia="zh-CN"/>
        </w:rPr>
        <w:t xml:space="preserve">, </w:t>
      </w:r>
      <w:r w:rsidRPr="00DE2C67">
        <w:rPr>
          <w:sz w:val="22"/>
          <w:lang w:eastAsia="zh-CN"/>
        </w:rPr>
        <w:t>Intel Corporation</w:t>
      </w:r>
    </w:p>
    <w:p w14:paraId="00253801" w14:textId="5930631A" w:rsidR="00DE2C67" w:rsidRPr="005667B1" w:rsidRDefault="00DF334B" w:rsidP="00DF334B">
      <w:pPr>
        <w:overflowPunct/>
        <w:autoSpaceDE/>
        <w:autoSpaceDN/>
        <w:adjustRightInd/>
        <w:spacing w:after="0"/>
        <w:textAlignment w:val="auto"/>
        <w:rPr>
          <w:sz w:val="22"/>
          <w:lang w:eastAsia="zh-CN"/>
        </w:rPr>
      </w:pPr>
      <w:r>
        <w:rPr>
          <w:sz w:val="22"/>
          <w:lang w:eastAsia="zh-CN"/>
        </w:rPr>
        <w:br w:type="page"/>
      </w:r>
    </w:p>
    <w:p w14:paraId="5734796F" w14:textId="77777777" w:rsidR="005A4631" w:rsidRDefault="005A4631" w:rsidP="005A4631">
      <w:pPr>
        <w:pStyle w:val="Heading1"/>
        <w:pBdr>
          <w:top w:val="single" w:sz="12" w:space="4" w:color="auto"/>
        </w:pBdr>
        <w:ind w:left="0" w:firstLine="0"/>
        <w:rPr>
          <w:rFonts w:cs="Arial"/>
          <w:lang w:val="en-US"/>
        </w:rPr>
      </w:pPr>
      <w:r>
        <w:rPr>
          <w:rFonts w:cs="Arial"/>
          <w:lang w:val="en-US"/>
        </w:rPr>
        <w:lastRenderedPageBreak/>
        <w:t>Appendix</w:t>
      </w:r>
    </w:p>
    <w:p w14:paraId="27CE92C0" w14:textId="4697D6F9" w:rsidR="00783C3E" w:rsidRDefault="00783C3E" w:rsidP="00783C3E">
      <w:pPr>
        <w:jc w:val="center"/>
        <w:rPr>
          <w:sz w:val="22"/>
          <w:lang w:val="en-US"/>
        </w:rPr>
      </w:pPr>
      <w:r w:rsidRPr="00783C3E">
        <w:rPr>
          <w:b/>
          <w:sz w:val="22"/>
          <w:lang w:val="en-US"/>
        </w:rPr>
        <w:t xml:space="preserve">Table 1. </w:t>
      </w:r>
      <w:r w:rsidRPr="00783C3E">
        <w:rPr>
          <w:sz w:val="22"/>
          <w:lang w:val="en-US"/>
        </w:rPr>
        <w:t xml:space="preserve">System level evaluation results </w:t>
      </w:r>
      <w:r w:rsidR="00691C7D">
        <w:rPr>
          <w:sz w:val="22"/>
          <w:lang w:val="en-US"/>
        </w:rPr>
        <w:t>for</w:t>
      </w:r>
      <w:r w:rsidRPr="00783C3E">
        <w:rPr>
          <w:sz w:val="22"/>
          <w:lang w:val="en-US"/>
        </w:rPr>
        <w:t xml:space="preserve"> medium traffic load (~50% resource utilization)</w:t>
      </w:r>
    </w:p>
    <w:tbl>
      <w:tblPr>
        <w:tblW w:w="7360" w:type="dxa"/>
        <w:jc w:val="center"/>
        <w:tblLook w:val="04A0" w:firstRow="1" w:lastRow="0" w:firstColumn="1" w:lastColumn="0" w:noHBand="0" w:noVBand="1"/>
      </w:tblPr>
      <w:tblGrid>
        <w:gridCol w:w="3760"/>
        <w:gridCol w:w="1200"/>
        <w:gridCol w:w="1200"/>
        <w:gridCol w:w="1200"/>
      </w:tblGrid>
      <w:tr w:rsidR="00FC21B0" w:rsidRPr="00FC21B0" w14:paraId="54465C58" w14:textId="77777777" w:rsidTr="00FC21B0">
        <w:trPr>
          <w:trHeight w:val="1500"/>
          <w:jc w:val="center"/>
        </w:trPr>
        <w:tc>
          <w:tcPr>
            <w:tcW w:w="3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CB84B6" w14:textId="77777777" w:rsidR="00FC21B0" w:rsidRPr="00FC21B0" w:rsidRDefault="00FC21B0" w:rsidP="00FC21B0">
            <w:pPr>
              <w:overflowPunct/>
              <w:autoSpaceDE/>
              <w:autoSpaceDN/>
              <w:adjustRightInd/>
              <w:spacing w:after="0"/>
              <w:textAlignment w:val="auto"/>
              <w:rPr>
                <w:rFonts w:eastAsia="Times New Roman"/>
                <w:color w:val="000000"/>
                <w:lang w:val="ru-RU" w:eastAsia="ru-RU"/>
              </w:rPr>
            </w:pPr>
            <w:r w:rsidRPr="00FC21B0">
              <w:rPr>
                <w:rFonts w:eastAsia="Times New Roman"/>
                <w:color w:val="000000"/>
                <w:lang w:val="ru-RU" w:eastAsia="ru-RU"/>
              </w:rPr>
              <w:t>CSI configuration</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69AEF250"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 of bits for space-frequency matrix reporting</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7792C9BD"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Average packet throughput, Mb/s</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55526054"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Cell-edge packet throughput, Mb/s</w:t>
            </w:r>
          </w:p>
        </w:tc>
      </w:tr>
      <w:tr w:rsidR="00FC21B0" w:rsidRPr="00FC21B0" w14:paraId="7E3AFE5A"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A51700A" w14:textId="77777777" w:rsidR="00FC21B0" w:rsidRPr="00FC21B0" w:rsidRDefault="00FC21B0" w:rsidP="00FC21B0">
            <w:pPr>
              <w:overflowPunct/>
              <w:autoSpaceDE/>
              <w:autoSpaceDN/>
              <w:adjustRightInd/>
              <w:spacing w:after="0"/>
              <w:textAlignment w:val="auto"/>
              <w:rPr>
                <w:rFonts w:eastAsia="Times New Roman"/>
                <w:color w:val="000000"/>
                <w:lang w:val="ru-RU" w:eastAsia="ru-RU"/>
              </w:rPr>
            </w:pPr>
            <w:r w:rsidRPr="00FC21B0">
              <w:rPr>
                <w:rFonts w:eastAsia="Times New Roman"/>
                <w:color w:val="000000"/>
                <w:lang w:val="ru-RU" w:eastAsia="ru-RU"/>
              </w:rPr>
              <w:t xml:space="preserve">Type I </w:t>
            </w:r>
          </w:p>
        </w:tc>
        <w:tc>
          <w:tcPr>
            <w:tcW w:w="1200" w:type="dxa"/>
            <w:tcBorders>
              <w:top w:val="nil"/>
              <w:left w:val="nil"/>
              <w:bottom w:val="single" w:sz="4" w:space="0" w:color="auto"/>
              <w:right w:val="single" w:sz="4" w:space="0" w:color="auto"/>
            </w:tcBorders>
            <w:shd w:val="clear" w:color="auto" w:fill="auto"/>
            <w:noWrap/>
            <w:vAlign w:val="bottom"/>
            <w:hideMark/>
          </w:tcPr>
          <w:p w14:paraId="114401D5"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26</w:t>
            </w:r>
          </w:p>
        </w:tc>
        <w:tc>
          <w:tcPr>
            <w:tcW w:w="1200" w:type="dxa"/>
            <w:tcBorders>
              <w:top w:val="nil"/>
              <w:left w:val="nil"/>
              <w:bottom w:val="single" w:sz="4" w:space="0" w:color="auto"/>
              <w:right w:val="single" w:sz="4" w:space="0" w:color="auto"/>
            </w:tcBorders>
            <w:shd w:val="clear" w:color="auto" w:fill="auto"/>
            <w:noWrap/>
            <w:vAlign w:val="bottom"/>
            <w:hideMark/>
          </w:tcPr>
          <w:p w14:paraId="790705D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17.3 (0%)</w:t>
            </w:r>
          </w:p>
        </w:tc>
        <w:tc>
          <w:tcPr>
            <w:tcW w:w="1200" w:type="dxa"/>
            <w:tcBorders>
              <w:top w:val="nil"/>
              <w:left w:val="nil"/>
              <w:bottom w:val="single" w:sz="4" w:space="0" w:color="auto"/>
              <w:right w:val="single" w:sz="4" w:space="0" w:color="auto"/>
            </w:tcBorders>
            <w:shd w:val="clear" w:color="auto" w:fill="auto"/>
            <w:noWrap/>
            <w:vAlign w:val="bottom"/>
            <w:hideMark/>
          </w:tcPr>
          <w:p w14:paraId="1D772108"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2.23 (0%)</w:t>
            </w:r>
          </w:p>
        </w:tc>
      </w:tr>
      <w:tr w:rsidR="00FC21B0" w:rsidRPr="00FC21B0" w14:paraId="3DDF2588"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383CC9B8"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2, QPSK,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0F13579C"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174</w:t>
            </w:r>
          </w:p>
        </w:tc>
        <w:tc>
          <w:tcPr>
            <w:tcW w:w="1200" w:type="dxa"/>
            <w:tcBorders>
              <w:top w:val="nil"/>
              <w:left w:val="nil"/>
              <w:bottom w:val="single" w:sz="4" w:space="0" w:color="auto"/>
              <w:right w:val="single" w:sz="4" w:space="0" w:color="auto"/>
            </w:tcBorders>
            <w:shd w:val="clear" w:color="auto" w:fill="auto"/>
            <w:noWrap/>
            <w:vAlign w:val="bottom"/>
            <w:hideMark/>
          </w:tcPr>
          <w:p w14:paraId="7414C54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18.9 (9%)</w:t>
            </w:r>
          </w:p>
        </w:tc>
        <w:tc>
          <w:tcPr>
            <w:tcW w:w="1200" w:type="dxa"/>
            <w:tcBorders>
              <w:top w:val="nil"/>
              <w:left w:val="nil"/>
              <w:bottom w:val="single" w:sz="4" w:space="0" w:color="auto"/>
              <w:right w:val="single" w:sz="4" w:space="0" w:color="auto"/>
            </w:tcBorders>
            <w:shd w:val="clear" w:color="auto" w:fill="auto"/>
            <w:noWrap/>
            <w:vAlign w:val="bottom"/>
            <w:hideMark/>
          </w:tcPr>
          <w:p w14:paraId="5BE01053"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2.57 (15%)</w:t>
            </w:r>
          </w:p>
        </w:tc>
      </w:tr>
      <w:tr w:rsidR="00FC21B0" w:rsidRPr="00FC21B0" w14:paraId="3225CCBF"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34AFA308"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2, 8-PSK,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510E2E7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252</w:t>
            </w:r>
          </w:p>
        </w:tc>
        <w:tc>
          <w:tcPr>
            <w:tcW w:w="1200" w:type="dxa"/>
            <w:tcBorders>
              <w:top w:val="nil"/>
              <w:left w:val="nil"/>
              <w:bottom w:val="single" w:sz="4" w:space="0" w:color="auto"/>
              <w:right w:val="single" w:sz="4" w:space="0" w:color="auto"/>
            </w:tcBorders>
            <w:shd w:val="clear" w:color="auto" w:fill="auto"/>
            <w:noWrap/>
            <w:vAlign w:val="bottom"/>
            <w:hideMark/>
          </w:tcPr>
          <w:p w14:paraId="28196CCA"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19.6 (13%)</w:t>
            </w:r>
          </w:p>
        </w:tc>
        <w:tc>
          <w:tcPr>
            <w:tcW w:w="1200" w:type="dxa"/>
            <w:tcBorders>
              <w:top w:val="nil"/>
              <w:left w:val="nil"/>
              <w:bottom w:val="single" w:sz="4" w:space="0" w:color="auto"/>
              <w:right w:val="single" w:sz="4" w:space="0" w:color="auto"/>
            </w:tcBorders>
            <w:shd w:val="clear" w:color="auto" w:fill="auto"/>
            <w:noWrap/>
            <w:vAlign w:val="bottom"/>
            <w:hideMark/>
          </w:tcPr>
          <w:p w14:paraId="726F47E3"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2.68 (20%)</w:t>
            </w:r>
          </w:p>
        </w:tc>
      </w:tr>
      <w:tr w:rsidR="00FC21B0" w:rsidRPr="00FC21B0" w14:paraId="75116CBE"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F2C89D6"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2, 8-PSK, SB ampl.</w:t>
            </w:r>
          </w:p>
        </w:tc>
        <w:tc>
          <w:tcPr>
            <w:tcW w:w="1200" w:type="dxa"/>
            <w:tcBorders>
              <w:top w:val="nil"/>
              <w:left w:val="nil"/>
              <w:bottom w:val="single" w:sz="4" w:space="0" w:color="auto"/>
              <w:right w:val="single" w:sz="4" w:space="0" w:color="auto"/>
            </w:tcBorders>
            <w:shd w:val="clear" w:color="auto" w:fill="auto"/>
            <w:noWrap/>
            <w:vAlign w:val="bottom"/>
            <w:hideMark/>
          </w:tcPr>
          <w:p w14:paraId="1AB0B76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330</w:t>
            </w:r>
          </w:p>
        </w:tc>
        <w:tc>
          <w:tcPr>
            <w:tcW w:w="1200" w:type="dxa"/>
            <w:tcBorders>
              <w:top w:val="nil"/>
              <w:left w:val="nil"/>
              <w:bottom w:val="single" w:sz="4" w:space="0" w:color="auto"/>
              <w:right w:val="single" w:sz="4" w:space="0" w:color="auto"/>
            </w:tcBorders>
            <w:shd w:val="clear" w:color="auto" w:fill="auto"/>
            <w:noWrap/>
            <w:vAlign w:val="bottom"/>
            <w:hideMark/>
          </w:tcPr>
          <w:p w14:paraId="0878AA3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20.1 (16%)</w:t>
            </w:r>
          </w:p>
        </w:tc>
        <w:tc>
          <w:tcPr>
            <w:tcW w:w="1200" w:type="dxa"/>
            <w:tcBorders>
              <w:top w:val="nil"/>
              <w:left w:val="nil"/>
              <w:bottom w:val="single" w:sz="4" w:space="0" w:color="auto"/>
              <w:right w:val="single" w:sz="4" w:space="0" w:color="auto"/>
            </w:tcBorders>
            <w:shd w:val="clear" w:color="auto" w:fill="auto"/>
            <w:noWrap/>
            <w:vAlign w:val="bottom"/>
            <w:hideMark/>
          </w:tcPr>
          <w:p w14:paraId="182596A8"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2.8 (25%)</w:t>
            </w:r>
          </w:p>
        </w:tc>
      </w:tr>
      <w:tr w:rsidR="00FC21B0" w:rsidRPr="00FC21B0" w14:paraId="7A1F5351"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38859A54"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4, QPSK,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787E522B"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406</w:t>
            </w:r>
          </w:p>
        </w:tc>
        <w:tc>
          <w:tcPr>
            <w:tcW w:w="1200" w:type="dxa"/>
            <w:tcBorders>
              <w:top w:val="nil"/>
              <w:left w:val="nil"/>
              <w:bottom w:val="single" w:sz="4" w:space="0" w:color="auto"/>
              <w:right w:val="single" w:sz="4" w:space="0" w:color="auto"/>
            </w:tcBorders>
            <w:shd w:val="clear" w:color="auto" w:fill="auto"/>
            <w:noWrap/>
            <w:vAlign w:val="bottom"/>
            <w:hideMark/>
          </w:tcPr>
          <w:p w14:paraId="21232AAB"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19.6 (13%)</w:t>
            </w:r>
          </w:p>
        </w:tc>
        <w:tc>
          <w:tcPr>
            <w:tcW w:w="1200" w:type="dxa"/>
            <w:tcBorders>
              <w:top w:val="nil"/>
              <w:left w:val="nil"/>
              <w:bottom w:val="single" w:sz="4" w:space="0" w:color="auto"/>
              <w:right w:val="single" w:sz="4" w:space="0" w:color="auto"/>
            </w:tcBorders>
            <w:shd w:val="clear" w:color="auto" w:fill="auto"/>
            <w:noWrap/>
            <w:vAlign w:val="bottom"/>
            <w:hideMark/>
          </w:tcPr>
          <w:p w14:paraId="5D289D1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2.69 (21%)</w:t>
            </w:r>
          </w:p>
        </w:tc>
      </w:tr>
      <w:tr w:rsidR="00FC21B0" w:rsidRPr="00FC21B0" w14:paraId="7A3A53E8"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ECC5412"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4, 8-PSK,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1FC203F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588</w:t>
            </w:r>
          </w:p>
        </w:tc>
        <w:tc>
          <w:tcPr>
            <w:tcW w:w="1200" w:type="dxa"/>
            <w:tcBorders>
              <w:top w:val="nil"/>
              <w:left w:val="nil"/>
              <w:bottom w:val="single" w:sz="4" w:space="0" w:color="auto"/>
              <w:right w:val="single" w:sz="4" w:space="0" w:color="auto"/>
            </w:tcBorders>
            <w:shd w:val="clear" w:color="auto" w:fill="auto"/>
            <w:noWrap/>
            <w:vAlign w:val="bottom"/>
            <w:hideMark/>
          </w:tcPr>
          <w:p w14:paraId="711E006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20.5 (18%)</w:t>
            </w:r>
          </w:p>
        </w:tc>
        <w:tc>
          <w:tcPr>
            <w:tcW w:w="1200" w:type="dxa"/>
            <w:tcBorders>
              <w:top w:val="nil"/>
              <w:left w:val="nil"/>
              <w:bottom w:val="single" w:sz="4" w:space="0" w:color="auto"/>
              <w:right w:val="single" w:sz="4" w:space="0" w:color="auto"/>
            </w:tcBorders>
            <w:shd w:val="clear" w:color="auto" w:fill="auto"/>
            <w:noWrap/>
            <w:vAlign w:val="bottom"/>
            <w:hideMark/>
          </w:tcPr>
          <w:p w14:paraId="27015C3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2.85 (28%)</w:t>
            </w:r>
          </w:p>
        </w:tc>
      </w:tr>
      <w:tr w:rsidR="00FC21B0" w:rsidRPr="00FC21B0" w14:paraId="1863CA61"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AB1ED82"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L = 4, 8-PSK, SB ampl.</w:t>
            </w:r>
          </w:p>
        </w:tc>
        <w:tc>
          <w:tcPr>
            <w:tcW w:w="1200" w:type="dxa"/>
            <w:tcBorders>
              <w:top w:val="nil"/>
              <w:left w:val="nil"/>
              <w:bottom w:val="single" w:sz="4" w:space="0" w:color="auto"/>
              <w:right w:val="single" w:sz="4" w:space="0" w:color="auto"/>
            </w:tcBorders>
            <w:shd w:val="clear" w:color="auto" w:fill="auto"/>
            <w:noWrap/>
            <w:vAlign w:val="bottom"/>
            <w:hideMark/>
          </w:tcPr>
          <w:p w14:paraId="06F1626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666</w:t>
            </w:r>
          </w:p>
        </w:tc>
        <w:tc>
          <w:tcPr>
            <w:tcW w:w="1200" w:type="dxa"/>
            <w:tcBorders>
              <w:top w:val="nil"/>
              <w:left w:val="nil"/>
              <w:bottom w:val="single" w:sz="4" w:space="0" w:color="auto"/>
              <w:right w:val="single" w:sz="4" w:space="0" w:color="auto"/>
            </w:tcBorders>
            <w:shd w:val="clear" w:color="auto" w:fill="auto"/>
            <w:noWrap/>
            <w:vAlign w:val="bottom"/>
            <w:hideMark/>
          </w:tcPr>
          <w:p w14:paraId="7557E805"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21.4 (24%)</w:t>
            </w:r>
          </w:p>
        </w:tc>
        <w:tc>
          <w:tcPr>
            <w:tcW w:w="1200" w:type="dxa"/>
            <w:tcBorders>
              <w:top w:val="nil"/>
              <w:left w:val="nil"/>
              <w:bottom w:val="single" w:sz="4" w:space="0" w:color="auto"/>
              <w:right w:val="single" w:sz="4" w:space="0" w:color="auto"/>
            </w:tcBorders>
            <w:shd w:val="clear" w:color="auto" w:fill="auto"/>
            <w:noWrap/>
            <w:vAlign w:val="bottom"/>
            <w:hideMark/>
          </w:tcPr>
          <w:p w14:paraId="486CFE4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3.09 (39%)</w:t>
            </w:r>
          </w:p>
        </w:tc>
      </w:tr>
      <w:tr w:rsidR="00FC21B0" w:rsidRPr="00FC21B0" w14:paraId="43728F90"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4757A3E2"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1</w:t>
            </w:r>
          </w:p>
        </w:tc>
        <w:tc>
          <w:tcPr>
            <w:tcW w:w="1200" w:type="dxa"/>
            <w:tcBorders>
              <w:top w:val="nil"/>
              <w:left w:val="nil"/>
              <w:bottom w:val="single" w:sz="4" w:space="0" w:color="auto"/>
              <w:right w:val="single" w:sz="4" w:space="0" w:color="auto"/>
            </w:tcBorders>
            <w:shd w:val="clear" w:color="auto" w:fill="auto"/>
            <w:noWrap/>
            <w:vAlign w:val="bottom"/>
            <w:hideMark/>
          </w:tcPr>
          <w:p w14:paraId="0836FB3C"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44</w:t>
            </w:r>
          </w:p>
        </w:tc>
        <w:tc>
          <w:tcPr>
            <w:tcW w:w="1200" w:type="dxa"/>
            <w:tcBorders>
              <w:top w:val="nil"/>
              <w:left w:val="nil"/>
              <w:bottom w:val="single" w:sz="4" w:space="0" w:color="auto"/>
              <w:right w:val="single" w:sz="4" w:space="0" w:color="auto"/>
            </w:tcBorders>
            <w:shd w:val="clear" w:color="auto" w:fill="auto"/>
            <w:noWrap/>
            <w:vAlign w:val="bottom"/>
            <w:hideMark/>
          </w:tcPr>
          <w:p w14:paraId="4050D003"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18.1 (4%)</w:t>
            </w:r>
          </w:p>
        </w:tc>
        <w:tc>
          <w:tcPr>
            <w:tcW w:w="1200" w:type="dxa"/>
            <w:tcBorders>
              <w:top w:val="nil"/>
              <w:left w:val="nil"/>
              <w:bottom w:val="single" w:sz="4" w:space="0" w:color="auto"/>
              <w:right w:val="single" w:sz="4" w:space="0" w:color="auto"/>
            </w:tcBorders>
            <w:shd w:val="clear" w:color="auto" w:fill="auto"/>
            <w:noWrap/>
            <w:vAlign w:val="bottom"/>
            <w:hideMark/>
          </w:tcPr>
          <w:p w14:paraId="7748EB2A"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2.36 (6%)</w:t>
            </w:r>
          </w:p>
        </w:tc>
      </w:tr>
      <w:tr w:rsidR="00FC21B0" w:rsidRPr="00FC21B0" w14:paraId="4E7E98D6"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CFA50F8"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2</w:t>
            </w:r>
          </w:p>
        </w:tc>
        <w:tc>
          <w:tcPr>
            <w:tcW w:w="1200" w:type="dxa"/>
            <w:tcBorders>
              <w:top w:val="nil"/>
              <w:left w:val="nil"/>
              <w:bottom w:val="single" w:sz="4" w:space="0" w:color="auto"/>
              <w:right w:val="single" w:sz="4" w:space="0" w:color="auto"/>
            </w:tcBorders>
            <w:shd w:val="clear" w:color="auto" w:fill="auto"/>
            <w:noWrap/>
            <w:vAlign w:val="bottom"/>
            <w:hideMark/>
          </w:tcPr>
          <w:p w14:paraId="4A0102C6"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86</w:t>
            </w:r>
          </w:p>
        </w:tc>
        <w:tc>
          <w:tcPr>
            <w:tcW w:w="1200" w:type="dxa"/>
            <w:tcBorders>
              <w:top w:val="nil"/>
              <w:left w:val="nil"/>
              <w:bottom w:val="single" w:sz="4" w:space="0" w:color="auto"/>
              <w:right w:val="single" w:sz="4" w:space="0" w:color="auto"/>
            </w:tcBorders>
            <w:shd w:val="clear" w:color="auto" w:fill="auto"/>
            <w:noWrap/>
            <w:vAlign w:val="bottom"/>
            <w:hideMark/>
          </w:tcPr>
          <w:p w14:paraId="23D4471D"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18.6 (8%)</w:t>
            </w:r>
          </w:p>
        </w:tc>
        <w:tc>
          <w:tcPr>
            <w:tcW w:w="1200" w:type="dxa"/>
            <w:tcBorders>
              <w:top w:val="nil"/>
              <w:left w:val="nil"/>
              <w:bottom w:val="single" w:sz="4" w:space="0" w:color="auto"/>
              <w:right w:val="single" w:sz="4" w:space="0" w:color="auto"/>
            </w:tcBorders>
            <w:shd w:val="clear" w:color="auto" w:fill="auto"/>
            <w:noWrap/>
            <w:vAlign w:val="bottom"/>
            <w:hideMark/>
          </w:tcPr>
          <w:p w14:paraId="21B8ED9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2.37 (6%)</w:t>
            </w:r>
          </w:p>
        </w:tc>
      </w:tr>
      <w:tr w:rsidR="00FC21B0" w:rsidRPr="00FC21B0" w14:paraId="7587661A"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9BA1651"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4</w:t>
            </w:r>
          </w:p>
        </w:tc>
        <w:tc>
          <w:tcPr>
            <w:tcW w:w="1200" w:type="dxa"/>
            <w:tcBorders>
              <w:top w:val="nil"/>
              <w:left w:val="nil"/>
              <w:bottom w:val="single" w:sz="4" w:space="0" w:color="auto"/>
              <w:right w:val="single" w:sz="4" w:space="0" w:color="auto"/>
            </w:tcBorders>
            <w:shd w:val="clear" w:color="auto" w:fill="auto"/>
            <w:noWrap/>
            <w:vAlign w:val="bottom"/>
            <w:hideMark/>
          </w:tcPr>
          <w:p w14:paraId="22F713B2"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158</w:t>
            </w:r>
          </w:p>
        </w:tc>
        <w:tc>
          <w:tcPr>
            <w:tcW w:w="1200" w:type="dxa"/>
            <w:tcBorders>
              <w:top w:val="nil"/>
              <w:left w:val="nil"/>
              <w:bottom w:val="single" w:sz="4" w:space="0" w:color="auto"/>
              <w:right w:val="single" w:sz="4" w:space="0" w:color="auto"/>
            </w:tcBorders>
            <w:shd w:val="clear" w:color="auto" w:fill="auto"/>
            <w:noWrap/>
            <w:vAlign w:val="bottom"/>
            <w:hideMark/>
          </w:tcPr>
          <w:p w14:paraId="7BBB4736"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19.3 (12%)</w:t>
            </w:r>
          </w:p>
        </w:tc>
        <w:tc>
          <w:tcPr>
            <w:tcW w:w="1200" w:type="dxa"/>
            <w:tcBorders>
              <w:top w:val="nil"/>
              <w:left w:val="nil"/>
              <w:bottom w:val="single" w:sz="4" w:space="0" w:color="auto"/>
              <w:right w:val="single" w:sz="4" w:space="0" w:color="auto"/>
            </w:tcBorders>
            <w:shd w:val="clear" w:color="auto" w:fill="auto"/>
            <w:noWrap/>
            <w:vAlign w:val="bottom"/>
            <w:hideMark/>
          </w:tcPr>
          <w:p w14:paraId="5AA7E19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2.5 (12%)</w:t>
            </w:r>
          </w:p>
        </w:tc>
      </w:tr>
      <w:tr w:rsidR="00FC21B0" w:rsidRPr="00FC21B0" w14:paraId="3B4FAF98"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664EF60"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6</w:t>
            </w:r>
          </w:p>
        </w:tc>
        <w:tc>
          <w:tcPr>
            <w:tcW w:w="1200" w:type="dxa"/>
            <w:tcBorders>
              <w:top w:val="nil"/>
              <w:left w:val="nil"/>
              <w:bottom w:val="single" w:sz="4" w:space="0" w:color="auto"/>
              <w:right w:val="single" w:sz="4" w:space="0" w:color="auto"/>
            </w:tcBorders>
            <w:shd w:val="clear" w:color="auto" w:fill="auto"/>
            <w:noWrap/>
            <w:vAlign w:val="bottom"/>
            <w:hideMark/>
          </w:tcPr>
          <w:p w14:paraId="4940207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226</w:t>
            </w:r>
          </w:p>
        </w:tc>
        <w:tc>
          <w:tcPr>
            <w:tcW w:w="1200" w:type="dxa"/>
            <w:tcBorders>
              <w:top w:val="nil"/>
              <w:left w:val="nil"/>
              <w:bottom w:val="single" w:sz="4" w:space="0" w:color="auto"/>
              <w:right w:val="single" w:sz="4" w:space="0" w:color="auto"/>
            </w:tcBorders>
            <w:shd w:val="clear" w:color="auto" w:fill="auto"/>
            <w:noWrap/>
            <w:vAlign w:val="bottom"/>
            <w:hideMark/>
          </w:tcPr>
          <w:p w14:paraId="3C2B942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19.7 (14%)</w:t>
            </w:r>
          </w:p>
        </w:tc>
        <w:tc>
          <w:tcPr>
            <w:tcW w:w="1200" w:type="dxa"/>
            <w:tcBorders>
              <w:top w:val="nil"/>
              <w:left w:val="nil"/>
              <w:bottom w:val="single" w:sz="4" w:space="0" w:color="auto"/>
              <w:right w:val="single" w:sz="4" w:space="0" w:color="auto"/>
            </w:tcBorders>
            <w:shd w:val="clear" w:color="auto" w:fill="auto"/>
            <w:noWrap/>
            <w:vAlign w:val="bottom"/>
            <w:hideMark/>
          </w:tcPr>
          <w:p w14:paraId="6EE0A61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2.56 (15%)</w:t>
            </w:r>
          </w:p>
        </w:tc>
      </w:tr>
      <w:tr w:rsidR="00FC21B0" w:rsidRPr="00FC21B0" w14:paraId="5A0BF502"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B1036C0"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8</w:t>
            </w:r>
          </w:p>
        </w:tc>
        <w:tc>
          <w:tcPr>
            <w:tcW w:w="1200" w:type="dxa"/>
            <w:tcBorders>
              <w:top w:val="nil"/>
              <w:left w:val="nil"/>
              <w:bottom w:val="single" w:sz="4" w:space="0" w:color="auto"/>
              <w:right w:val="single" w:sz="4" w:space="0" w:color="auto"/>
            </w:tcBorders>
            <w:shd w:val="clear" w:color="auto" w:fill="auto"/>
            <w:noWrap/>
            <w:vAlign w:val="bottom"/>
            <w:hideMark/>
          </w:tcPr>
          <w:p w14:paraId="3811707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286</w:t>
            </w:r>
          </w:p>
        </w:tc>
        <w:tc>
          <w:tcPr>
            <w:tcW w:w="1200" w:type="dxa"/>
            <w:tcBorders>
              <w:top w:val="nil"/>
              <w:left w:val="nil"/>
              <w:bottom w:val="single" w:sz="4" w:space="0" w:color="auto"/>
              <w:right w:val="single" w:sz="4" w:space="0" w:color="auto"/>
            </w:tcBorders>
            <w:shd w:val="clear" w:color="auto" w:fill="auto"/>
            <w:noWrap/>
            <w:vAlign w:val="bottom"/>
            <w:hideMark/>
          </w:tcPr>
          <w:p w14:paraId="101463DE"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19.9 (15%)</w:t>
            </w:r>
          </w:p>
        </w:tc>
        <w:tc>
          <w:tcPr>
            <w:tcW w:w="1200" w:type="dxa"/>
            <w:tcBorders>
              <w:top w:val="nil"/>
              <w:left w:val="nil"/>
              <w:bottom w:val="single" w:sz="4" w:space="0" w:color="auto"/>
              <w:right w:val="single" w:sz="4" w:space="0" w:color="auto"/>
            </w:tcBorders>
            <w:shd w:val="clear" w:color="auto" w:fill="auto"/>
            <w:noWrap/>
            <w:vAlign w:val="bottom"/>
            <w:hideMark/>
          </w:tcPr>
          <w:p w14:paraId="7947FEEE"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2.72 (22%)</w:t>
            </w:r>
          </w:p>
        </w:tc>
      </w:tr>
      <w:tr w:rsidR="00FC21B0" w:rsidRPr="00FC21B0" w14:paraId="2A7E9A7B"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7C33402"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10</w:t>
            </w:r>
          </w:p>
        </w:tc>
        <w:tc>
          <w:tcPr>
            <w:tcW w:w="1200" w:type="dxa"/>
            <w:tcBorders>
              <w:top w:val="nil"/>
              <w:left w:val="nil"/>
              <w:bottom w:val="single" w:sz="4" w:space="0" w:color="auto"/>
              <w:right w:val="single" w:sz="4" w:space="0" w:color="auto"/>
            </w:tcBorders>
            <w:shd w:val="clear" w:color="auto" w:fill="auto"/>
            <w:noWrap/>
            <w:vAlign w:val="bottom"/>
            <w:hideMark/>
          </w:tcPr>
          <w:p w14:paraId="36AEE1E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348</w:t>
            </w:r>
          </w:p>
        </w:tc>
        <w:tc>
          <w:tcPr>
            <w:tcW w:w="1200" w:type="dxa"/>
            <w:tcBorders>
              <w:top w:val="nil"/>
              <w:left w:val="nil"/>
              <w:bottom w:val="single" w:sz="4" w:space="0" w:color="auto"/>
              <w:right w:val="single" w:sz="4" w:space="0" w:color="auto"/>
            </w:tcBorders>
            <w:shd w:val="clear" w:color="auto" w:fill="auto"/>
            <w:noWrap/>
            <w:vAlign w:val="bottom"/>
            <w:hideMark/>
          </w:tcPr>
          <w:p w14:paraId="6E1C5492"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20.1 (16%)</w:t>
            </w:r>
          </w:p>
        </w:tc>
        <w:tc>
          <w:tcPr>
            <w:tcW w:w="1200" w:type="dxa"/>
            <w:tcBorders>
              <w:top w:val="nil"/>
              <w:left w:val="nil"/>
              <w:bottom w:val="single" w:sz="4" w:space="0" w:color="auto"/>
              <w:right w:val="single" w:sz="4" w:space="0" w:color="auto"/>
            </w:tcBorders>
            <w:shd w:val="clear" w:color="auto" w:fill="auto"/>
            <w:noWrap/>
            <w:vAlign w:val="bottom"/>
            <w:hideMark/>
          </w:tcPr>
          <w:p w14:paraId="4FE54B17"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2.72 (22%)</w:t>
            </w:r>
          </w:p>
        </w:tc>
      </w:tr>
      <w:tr w:rsidR="00FC21B0" w:rsidRPr="00FC21B0" w14:paraId="2234DB36"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55F93474"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2, S = 12</w:t>
            </w:r>
          </w:p>
        </w:tc>
        <w:tc>
          <w:tcPr>
            <w:tcW w:w="1200" w:type="dxa"/>
            <w:tcBorders>
              <w:top w:val="nil"/>
              <w:left w:val="nil"/>
              <w:bottom w:val="single" w:sz="4" w:space="0" w:color="auto"/>
              <w:right w:val="single" w:sz="4" w:space="0" w:color="auto"/>
            </w:tcBorders>
            <w:shd w:val="clear" w:color="auto" w:fill="auto"/>
            <w:noWrap/>
            <w:vAlign w:val="bottom"/>
            <w:hideMark/>
          </w:tcPr>
          <w:p w14:paraId="545E22D3"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398</w:t>
            </w:r>
          </w:p>
        </w:tc>
        <w:tc>
          <w:tcPr>
            <w:tcW w:w="1200" w:type="dxa"/>
            <w:tcBorders>
              <w:top w:val="nil"/>
              <w:left w:val="nil"/>
              <w:bottom w:val="single" w:sz="4" w:space="0" w:color="auto"/>
              <w:right w:val="single" w:sz="4" w:space="0" w:color="auto"/>
            </w:tcBorders>
            <w:shd w:val="clear" w:color="auto" w:fill="auto"/>
            <w:noWrap/>
            <w:vAlign w:val="bottom"/>
            <w:hideMark/>
          </w:tcPr>
          <w:p w14:paraId="3A6AECF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20 (15%)</w:t>
            </w:r>
          </w:p>
        </w:tc>
        <w:tc>
          <w:tcPr>
            <w:tcW w:w="1200" w:type="dxa"/>
            <w:tcBorders>
              <w:top w:val="nil"/>
              <w:left w:val="nil"/>
              <w:bottom w:val="single" w:sz="4" w:space="0" w:color="auto"/>
              <w:right w:val="single" w:sz="4" w:space="0" w:color="auto"/>
            </w:tcBorders>
            <w:shd w:val="clear" w:color="auto" w:fill="auto"/>
            <w:noWrap/>
            <w:vAlign w:val="bottom"/>
            <w:hideMark/>
          </w:tcPr>
          <w:p w14:paraId="3310AFCB"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2.63 (18%)</w:t>
            </w:r>
          </w:p>
        </w:tc>
      </w:tr>
      <w:tr w:rsidR="00FC21B0" w:rsidRPr="00FC21B0" w14:paraId="0945C59A"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0CA5FA3"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1</w:t>
            </w:r>
          </w:p>
        </w:tc>
        <w:tc>
          <w:tcPr>
            <w:tcW w:w="1200" w:type="dxa"/>
            <w:tcBorders>
              <w:top w:val="nil"/>
              <w:left w:val="nil"/>
              <w:bottom w:val="single" w:sz="4" w:space="0" w:color="auto"/>
              <w:right w:val="single" w:sz="4" w:space="0" w:color="auto"/>
            </w:tcBorders>
            <w:shd w:val="clear" w:color="auto" w:fill="auto"/>
            <w:noWrap/>
            <w:vAlign w:val="bottom"/>
            <w:hideMark/>
          </w:tcPr>
          <w:p w14:paraId="4EC3D2D2"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92</w:t>
            </w:r>
          </w:p>
        </w:tc>
        <w:tc>
          <w:tcPr>
            <w:tcW w:w="1200" w:type="dxa"/>
            <w:tcBorders>
              <w:top w:val="nil"/>
              <w:left w:val="nil"/>
              <w:bottom w:val="single" w:sz="4" w:space="0" w:color="auto"/>
              <w:right w:val="single" w:sz="4" w:space="0" w:color="auto"/>
            </w:tcBorders>
            <w:shd w:val="clear" w:color="auto" w:fill="auto"/>
            <w:noWrap/>
            <w:vAlign w:val="bottom"/>
            <w:hideMark/>
          </w:tcPr>
          <w:p w14:paraId="497B9DA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18.8 (9%)</w:t>
            </w:r>
          </w:p>
        </w:tc>
        <w:tc>
          <w:tcPr>
            <w:tcW w:w="1200" w:type="dxa"/>
            <w:tcBorders>
              <w:top w:val="nil"/>
              <w:left w:val="nil"/>
              <w:bottom w:val="single" w:sz="4" w:space="0" w:color="auto"/>
              <w:right w:val="single" w:sz="4" w:space="0" w:color="auto"/>
            </w:tcBorders>
            <w:shd w:val="clear" w:color="auto" w:fill="auto"/>
            <w:noWrap/>
            <w:vAlign w:val="bottom"/>
            <w:hideMark/>
          </w:tcPr>
          <w:p w14:paraId="265AED13"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2.58 (16%)</w:t>
            </w:r>
          </w:p>
        </w:tc>
      </w:tr>
      <w:tr w:rsidR="00FC21B0" w:rsidRPr="00FC21B0" w14:paraId="3CFBAD93"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54BA544D"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2</w:t>
            </w:r>
          </w:p>
        </w:tc>
        <w:tc>
          <w:tcPr>
            <w:tcW w:w="1200" w:type="dxa"/>
            <w:tcBorders>
              <w:top w:val="nil"/>
              <w:left w:val="nil"/>
              <w:bottom w:val="single" w:sz="4" w:space="0" w:color="auto"/>
              <w:right w:val="single" w:sz="4" w:space="0" w:color="auto"/>
            </w:tcBorders>
            <w:shd w:val="clear" w:color="auto" w:fill="auto"/>
            <w:noWrap/>
            <w:vAlign w:val="bottom"/>
            <w:hideMark/>
          </w:tcPr>
          <w:p w14:paraId="0B40E006"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182</w:t>
            </w:r>
          </w:p>
        </w:tc>
        <w:tc>
          <w:tcPr>
            <w:tcW w:w="1200" w:type="dxa"/>
            <w:tcBorders>
              <w:top w:val="nil"/>
              <w:left w:val="nil"/>
              <w:bottom w:val="single" w:sz="4" w:space="0" w:color="auto"/>
              <w:right w:val="single" w:sz="4" w:space="0" w:color="auto"/>
            </w:tcBorders>
            <w:shd w:val="clear" w:color="auto" w:fill="auto"/>
            <w:noWrap/>
            <w:vAlign w:val="bottom"/>
            <w:hideMark/>
          </w:tcPr>
          <w:p w14:paraId="52DEF5A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19.8 (14%)</w:t>
            </w:r>
          </w:p>
        </w:tc>
        <w:tc>
          <w:tcPr>
            <w:tcW w:w="1200" w:type="dxa"/>
            <w:tcBorders>
              <w:top w:val="nil"/>
              <w:left w:val="nil"/>
              <w:bottom w:val="single" w:sz="4" w:space="0" w:color="auto"/>
              <w:right w:val="single" w:sz="4" w:space="0" w:color="auto"/>
            </w:tcBorders>
            <w:shd w:val="clear" w:color="auto" w:fill="auto"/>
            <w:noWrap/>
            <w:vAlign w:val="bottom"/>
            <w:hideMark/>
          </w:tcPr>
          <w:p w14:paraId="4E841A8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2.66 (19%)</w:t>
            </w:r>
          </w:p>
        </w:tc>
      </w:tr>
      <w:tr w:rsidR="00FC21B0" w:rsidRPr="00FC21B0" w14:paraId="2706B344"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E3EC123"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4</w:t>
            </w:r>
          </w:p>
        </w:tc>
        <w:tc>
          <w:tcPr>
            <w:tcW w:w="1200" w:type="dxa"/>
            <w:tcBorders>
              <w:top w:val="nil"/>
              <w:left w:val="nil"/>
              <w:bottom w:val="single" w:sz="4" w:space="0" w:color="auto"/>
              <w:right w:val="single" w:sz="4" w:space="0" w:color="auto"/>
            </w:tcBorders>
            <w:shd w:val="clear" w:color="auto" w:fill="auto"/>
            <w:noWrap/>
            <w:vAlign w:val="bottom"/>
            <w:hideMark/>
          </w:tcPr>
          <w:p w14:paraId="6884224C"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342</w:t>
            </w:r>
          </w:p>
        </w:tc>
        <w:tc>
          <w:tcPr>
            <w:tcW w:w="1200" w:type="dxa"/>
            <w:tcBorders>
              <w:top w:val="nil"/>
              <w:left w:val="nil"/>
              <w:bottom w:val="single" w:sz="4" w:space="0" w:color="auto"/>
              <w:right w:val="single" w:sz="4" w:space="0" w:color="auto"/>
            </w:tcBorders>
            <w:shd w:val="clear" w:color="auto" w:fill="auto"/>
            <w:noWrap/>
            <w:vAlign w:val="bottom"/>
            <w:hideMark/>
          </w:tcPr>
          <w:p w14:paraId="30249B7F"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20.9 (21%)</w:t>
            </w:r>
          </w:p>
        </w:tc>
        <w:tc>
          <w:tcPr>
            <w:tcW w:w="1200" w:type="dxa"/>
            <w:tcBorders>
              <w:top w:val="nil"/>
              <w:left w:val="nil"/>
              <w:bottom w:val="single" w:sz="4" w:space="0" w:color="auto"/>
              <w:right w:val="single" w:sz="4" w:space="0" w:color="auto"/>
            </w:tcBorders>
            <w:shd w:val="clear" w:color="auto" w:fill="auto"/>
            <w:noWrap/>
            <w:vAlign w:val="bottom"/>
            <w:hideMark/>
          </w:tcPr>
          <w:p w14:paraId="076E2178"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2.77 (24%)</w:t>
            </w:r>
          </w:p>
        </w:tc>
      </w:tr>
      <w:tr w:rsidR="00FC21B0" w:rsidRPr="00FC21B0" w14:paraId="117B90B1"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4717F3CC"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6</w:t>
            </w:r>
          </w:p>
        </w:tc>
        <w:tc>
          <w:tcPr>
            <w:tcW w:w="1200" w:type="dxa"/>
            <w:tcBorders>
              <w:top w:val="nil"/>
              <w:left w:val="nil"/>
              <w:bottom w:val="single" w:sz="4" w:space="0" w:color="auto"/>
              <w:right w:val="single" w:sz="4" w:space="0" w:color="auto"/>
            </w:tcBorders>
            <w:shd w:val="clear" w:color="auto" w:fill="auto"/>
            <w:noWrap/>
            <w:vAlign w:val="bottom"/>
            <w:hideMark/>
          </w:tcPr>
          <w:p w14:paraId="7CF0A682"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498</w:t>
            </w:r>
          </w:p>
        </w:tc>
        <w:tc>
          <w:tcPr>
            <w:tcW w:w="1200" w:type="dxa"/>
            <w:tcBorders>
              <w:top w:val="nil"/>
              <w:left w:val="nil"/>
              <w:bottom w:val="single" w:sz="4" w:space="0" w:color="auto"/>
              <w:right w:val="single" w:sz="4" w:space="0" w:color="auto"/>
            </w:tcBorders>
            <w:shd w:val="clear" w:color="auto" w:fill="auto"/>
            <w:noWrap/>
            <w:vAlign w:val="bottom"/>
            <w:hideMark/>
          </w:tcPr>
          <w:p w14:paraId="3730BB6B"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21.5 (24%)</w:t>
            </w:r>
          </w:p>
        </w:tc>
        <w:tc>
          <w:tcPr>
            <w:tcW w:w="1200" w:type="dxa"/>
            <w:tcBorders>
              <w:top w:val="nil"/>
              <w:left w:val="nil"/>
              <w:bottom w:val="single" w:sz="4" w:space="0" w:color="auto"/>
              <w:right w:val="single" w:sz="4" w:space="0" w:color="auto"/>
            </w:tcBorders>
            <w:shd w:val="clear" w:color="auto" w:fill="auto"/>
            <w:noWrap/>
            <w:vAlign w:val="bottom"/>
            <w:hideMark/>
          </w:tcPr>
          <w:p w14:paraId="6392CAD1"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2.94 (32%)</w:t>
            </w:r>
          </w:p>
        </w:tc>
      </w:tr>
      <w:tr w:rsidR="00FC21B0" w:rsidRPr="00FC21B0" w14:paraId="6FA654CE"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4C6A84D5"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8</w:t>
            </w:r>
          </w:p>
        </w:tc>
        <w:tc>
          <w:tcPr>
            <w:tcW w:w="1200" w:type="dxa"/>
            <w:tcBorders>
              <w:top w:val="nil"/>
              <w:left w:val="nil"/>
              <w:bottom w:val="single" w:sz="4" w:space="0" w:color="auto"/>
              <w:right w:val="single" w:sz="4" w:space="0" w:color="auto"/>
            </w:tcBorders>
            <w:shd w:val="clear" w:color="auto" w:fill="auto"/>
            <w:noWrap/>
            <w:vAlign w:val="bottom"/>
            <w:hideMark/>
          </w:tcPr>
          <w:p w14:paraId="2D76B18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638</w:t>
            </w:r>
          </w:p>
        </w:tc>
        <w:tc>
          <w:tcPr>
            <w:tcW w:w="1200" w:type="dxa"/>
            <w:tcBorders>
              <w:top w:val="nil"/>
              <w:left w:val="nil"/>
              <w:bottom w:val="single" w:sz="4" w:space="0" w:color="auto"/>
              <w:right w:val="single" w:sz="4" w:space="0" w:color="auto"/>
            </w:tcBorders>
            <w:shd w:val="clear" w:color="auto" w:fill="auto"/>
            <w:noWrap/>
            <w:vAlign w:val="bottom"/>
            <w:hideMark/>
          </w:tcPr>
          <w:p w14:paraId="3D845856"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21.9 (26%)</w:t>
            </w:r>
          </w:p>
        </w:tc>
        <w:tc>
          <w:tcPr>
            <w:tcW w:w="1200" w:type="dxa"/>
            <w:tcBorders>
              <w:top w:val="nil"/>
              <w:left w:val="nil"/>
              <w:bottom w:val="single" w:sz="4" w:space="0" w:color="auto"/>
              <w:right w:val="single" w:sz="4" w:space="0" w:color="auto"/>
            </w:tcBorders>
            <w:shd w:val="clear" w:color="auto" w:fill="auto"/>
            <w:noWrap/>
            <w:vAlign w:val="bottom"/>
            <w:hideMark/>
          </w:tcPr>
          <w:p w14:paraId="193DB71B"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3.04 (36%)</w:t>
            </w:r>
          </w:p>
        </w:tc>
      </w:tr>
      <w:tr w:rsidR="00FC21B0" w:rsidRPr="00FC21B0" w14:paraId="11140B78"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5B106669"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10</w:t>
            </w:r>
          </w:p>
        </w:tc>
        <w:tc>
          <w:tcPr>
            <w:tcW w:w="1200" w:type="dxa"/>
            <w:tcBorders>
              <w:top w:val="nil"/>
              <w:left w:val="nil"/>
              <w:bottom w:val="single" w:sz="4" w:space="0" w:color="auto"/>
              <w:right w:val="single" w:sz="4" w:space="0" w:color="auto"/>
            </w:tcBorders>
            <w:shd w:val="clear" w:color="auto" w:fill="auto"/>
            <w:noWrap/>
            <w:vAlign w:val="bottom"/>
            <w:hideMark/>
          </w:tcPr>
          <w:p w14:paraId="1F35A27D"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788</w:t>
            </w:r>
          </w:p>
        </w:tc>
        <w:tc>
          <w:tcPr>
            <w:tcW w:w="1200" w:type="dxa"/>
            <w:tcBorders>
              <w:top w:val="nil"/>
              <w:left w:val="nil"/>
              <w:bottom w:val="single" w:sz="4" w:space="0" w:color="auto"/>
              <w:right w:val="single" w:sz="4" w:space="0" w:color="auto"/>
            </w:tcBorders>
            <w:shd w:val="clear" w:color="auto" w:fill="auto"/>
            <w:noWrap/>
            <w:vAlign w:val="bottom"/>
            <w:hideMark/>
          </w:tcPr>
          <w:p w14:paraId="67A74ECE"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21.8 (26%)</w:t>
            </w:r>
          </w:p>
        </w:tc>
        <w:tc>
          <w:tcPr>
            <w:tcW w:w="1200" w:type="dxa"/>
            <w:tcBorders>
              <w:top w:val="nil"/>
              <w:left w:val="nil"/>
              <w:bottom w:val="single" w:sz="4" w:space="0" w:color="auto"/>
              <w:right w:val="single" w:sz="4" w:space="0" w:color="auto"/>
            </w:tcBorders>
            <w:shd w:val="clear" w:color="auto" w:fill="auto"/>
            <w:noWrap/>
            <w:vAlign w:val="bottom"/>
            <w:hideMark/>
          </w:tcPr>
          <w:p w14:paraId="188713EC"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2.97 (33%)</w:t>
            </w:r>
          </w:p>
        </w:tc>
      </w:tr>
      <w:tr w:rsidR="00FC21B0" w:rsidRPr="00FC21B0" w14:paraId="708071D2" w14:textId="77777777" w:rsidTr="00FC21B0">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4908C00D" w14:textId="77777777" w:rsidR="00FC21B0" w:rsidRPr="00FC21B0" w:rsidRDefault="00FC21B0" w:rsidP="00FC21B0">
            <w:pPr>
              <w:overflowPunct/>
              <w:autoSpaceDE/>
              <w:autoSpaceDN/>
              <w:adjustRightInd/>
              <w:spacing w:after="0"/>
              <w:textAlignment w:val="auto"/>
              <w:rPr>
                <w:rFonts w:eastAsia="Times New Roman"/>
                <w:color w:val="000000"/>
                <w:lang w:val="en-US" w:eastAsia="ru-RU"/>
              </w:rPr>
            </w:pPr>
            <w:r w:rsidRPr="00FC21B0">
              <w:rPr>
                <w:rFonts w:eastAsia="Times New Roman"/>
                <w:color w:val="000000"/>
                <w:lang w:val="en-US" w:eastAsia="ru-RU"/>
              </w:rPr>
              <w:t>Type II compression, L =  4, S = 12</w:t>
            </w:r>
          </w:p>
        </w:tc>
        <w:tc>
          <w:tcPr>
            <w:tcW w:w="1200" w:type="dxa"/>
            <w:tcBorders>
              <w:top w:val="nil"/>
              <w:left w:val="nil"/>
              <w:bottom w:val="single" w:sz="4" w:space="0" w:color="auto"/>
              <w:right w:val="single" w:sz="4" w:space="0" w:color="auto"/>
            </w:tcBorders>
            <w:shd w:val="clear" w:color="auto" w:fill="auto"/>
            <w:noWrap/>
            <w:vAlign w:val="bottom"/>
            <w:hideMark/>
          </w:tcPr>
          <w:p w14:paraId="6FBC9B2C"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918</w:t>
            </w:r>
          </w:p>
        </w:tc>
        <w:tc>
          <w:tcPr>
            <w:tcW w:w="1200" w:type="dxa"/>
            <w:tcBorders>
              <w:top w:val="nil"/>
              <w:left w:val="nil"/>
              <w:bottom w:val="single" w:sz="4" w:space="0" w:color="auto"/>
              <w:right w:val="single" w:sz="4" w:space="0" w:color="auto"/>
            </w:tcBorders>
            <w:shd w:val="clear" w:color="auto" w:fill="auto"/>
            <w:noWrap/>
            <w:vAlign w:val="bottom"/>
            <w:hideMark/>
          </w:tcPr>
          <w:p w14:paraId="3199C8C4"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22 (27%)</w:t>
            </w:r>
          </w:p>
        </w:tc>
        <w:tc>
          <w:tcPr>
            <w:tcW w:w="1200" w:type="dxa"/>
            <w:tcBorders>
              <w:top w:val="nil"/>
              <w:left w:val="nil"/>
              <w:bottom w:val="single" w:sz="4" w:space="0" w:color="auto"/>
              <w:right w:val="single" w:sz="4" w:space="0" w:color="auto"/>
            </w:tcBorders>
            <w:shd w:val="clear" w:color="auto" w:fill="auto"/>
            <w:noWrap/>
            <w:vAlign w:val="bottom"/>
            <w:hideMark/>
          </w:tcPr>
          <w:p w14:paraId="73B7E2B0" w14:textId="77777777" w:rsidR="00FC21B0" w:rsidRPr="00FC21B0" w:rsidRDefault="00FC21B0" w:rsidP="00FC21B0">
            <w:pPr>
              <w:overflowPunct/>
              <w:autoSpaceDE/>
              <w:autoSpaceDN/>
              <w:adjustRightInd/>
              <w:spacing w:after="0"/>
              <w:jc w:val="right"/>
              <w:textAlignment w:val="auto"/>
              <w:rPr>
                <w:rFonts w:eastAsia="Times New Roman"/>
                <w:color w:val="000000"/>
                <w:lang w:val="ru-RU" w:eastAsia="ru-RU"/>
              </w:rPr>
            </w:pPr>
            <w:r w:rsidRPr="00FC21B0">
              <w:rPr>
                <w:rFonts w:eastAsia="Times New Roman"/>
                <w:color w:val="000000"/>
                <w:lang w:val="ru-RU" w:eastAsia="ru-RU"/>
              </w:rPr>
              <w:t>3.11 (40%)</w:t>
            </w:r>
          </w:p>
        </w:tc>
      </w:tr>
    </w:tbl>
    <w:p w14:paraId="59227B8E" w14:textId="77777777" w:rsidR="00DD0292" w:rsidRDefault="00DD0292" w:rsidP="00783C3E">
      <w:pPr>
        <w:jc w:val="center"/>
        <w:rPr>
          <w:sz w:val="22"/>
          <w:lang w:val="en-US"/>
        </w:rPr>
      </w:pPr>
    </w:p>
    <w:p w14:paraId="3FA952FC" w14:textId="69218CC0" w:rsidR="00DD0292" w:rsidRPr="00783C3E" w:rsidRDefault="00DD0292" w:rsidP="00783C3E">
      <w:pPr>
        <w:jc w:val="center"/>
        <w:rPr>
          <w:sz w:val="22"/>
          <w:lang w:val="en-US"/>
        </w:rPr>
      </w:pPr>
      <w:r w:rsidRPr="00783C3E">
        <w:rPr>
          <w:b/>
          <w:sz w:val="22"/>
          <w:lang w:val="en-US"/>
        </w:rPr>
        <w:t xml:space="preserve">Table </w:t>
      </w:r>
      <w:r>
        <w:rPr>
          <w:b/>
          <w:sz w:val="22"/>
          <w:lang w:val="en-US"/>
        </w:rPr>
        <w:t>2</w:t>
      </w:r>
      <w:r w:rsidRPr="00783C3E">
        <w:rPr>
          <w:b/>
          <w:sz w:val="22"/>
          <w:lang w:val="en-US"/>
        </w:rPr>
        <w:t xml:space="preserve">. </w:t>
      </w:r>
      <w:r w:rsidRPr="00783C3E">
        <w:rPr>
          <w:sz w:val="22"/>
          <w:lang w:val="en-US"/>
        </w:rPr>
        <w:t xml:space="preserve">System level evaluation results </w:t>
      </w:r>
      <w:r w:rsidR="00691C7D">
        <w:rPr>
          <w:sz w:val="22"/>
          <w:lang w:val="en-US"/>
        </w:rPr>
        <w:t>for</w:t>
      </w:r>
      <w:r w:rsidRPr="00783C3E">
        <w:rPr>
          <w:sz w:val="22"/>
          <w:lang w:val="en-US"/>
        </w:rPr>
        <w:t xml:space="preserve"> </w:t>
      </w:r>
      <w:r>
        <w:rPr>
          <w:sz w:val="22"/>
          <w:lang w:val="en-US"/>
        </w:rPr>
        <w:t>high</w:t>
      </w:r>
      <w:r w:rsidRPr="00783C3E">
        <w:rPr>
          <w:sz w:val="22"/>
          <w:lang w:val="en-US"/>
        </w:rPr>
        <w:t xml:space="preserve"> traffic load (~</w:t>
      </w:r>
      <w:r>
        <w:rPr>
          <w:sz w:val="22"/>
          <w:lang w:val="en-US"/>
        </w:rPr>
        <w:t>7</w:t>
      </w:r>
      <w:r w:rsidRPr="00783C3E">
        <w:rPr>
          <w:sz w:val="22"/>
          <w:lang w:val="en-US"/>
        </w:rPr>
        <w:t>0% resource utilization)</w:t>
      </w:r>
    </w:p>
    <w:tbl>
      <w:tblPr>
        <w:tblW w:w="7360" w:type="dxa"/>
        <w:jc w:val="center"/>
        <w:tblLook w:val="04A0" w:firstRow="1" w:lastRow="0" w:firstColumn="1" w:lastColumn="0" w:noHBand="0" w:noVBand="1"/>
      </w:tblPr>
      <w:tblGrid>
        <w:gridCol w:w="3760"/>
        <w:gridCol w:w="1200"/>
        <w:gridCol w:w="1200"/>
        <w:gridCol w:w="1200"/>
      </w:tblGrid>
      <w:tr w:rsidR="00EA5F1A" w:rsidRPr="00EA5F1A" w14:paraId="1CE1ED09" w14:textId="77777777" w:rsidTr="00EA5F1A">
        <w:trPr>
          <w:trHeight w:val="1500"/>
          <w:jc w:val="center"/>
        </w:trPr>
        <w:tc>
          <w:tcPr>
            <w:tcW w:w="3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9E92E3" w14:textId="77777777" w:rsidR="00EA5F1A" w:rsidRPr="00EA5F1A" w:rsidRDefault="00EA5F1A" w:rsidP="00EA5F1A">
            <w:pPr>
              <w:overflowPunct/>
              <w:autoSpaceDE/>
              <w:autoSpaceDN/>
              <w:adjustRightInd/>
              <w:spacing w:after="0"/>
              <w:textAlignment w:val="auto"/>
              <w:rPr>
                <w:rFonts w:eastAsia="Times New Roman"/>
                <w:color w:val="000000"/>
                <w:lang w:val="ru-RU" w:eastAsia="ru-RU"/>
              </w:rPr>
            </w:pPr>
            <w:r w:rsidRPr="00EA5F1A">
              <w:rPr>
                <w:rFonts w:eastAsia="Times New Roman"/>
                <w:color w:val="000000"/>
                <w:lang w:val="ru-RU" w:eastAsia="ru-RU"/>
              </w:rPr>
              <w:t>CSI configuration</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4E75EB3A"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 of bits for space-frequency matrix reporting</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1CCDE4F7"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Average packet throughput, Mb/s</w:t>
            </w:r>
          </w:p>
        </w:tc>
        <w:tc>
          <w:tcPr>
            <w:tcW w:w="1200" w:type="dxa"/>
            <w:tcBorders>
              <w:top w:val="single" w:sz="4" w:space="0" w:color="auto"/>
              <w:left w:val="nil"/>
              <w:bottom w:val="single" w:sz="4" w:space="0" w:color="auto"/>
              <w:right w:val="single" w:sz="4" w:space="0" w:color="auto"/>
            </w:tcBorders>
            <w:shd w:val="clear" w:color="auto" w:fill="auto"/>
            <w:vAlign w:val="bottom"/>
            <w:hideMark/>
          </w:tcPr>
          <w:p w14:paraId="21D5A9DB"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Cell-edge packet throughput, Mb/s</w:t>
            </w:r>
          </w:p>
        </w:tc>
      </w:tr>
      <w:tr w:rsidR="00EA5F1A" w:rsidRPr="00EA5F1A" w14:paraId="2D78AF99"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24F27C5" w14:textId="77777777" w:rsidR="00EA5F1A" w:rsidRPr="00EA5F1A" w:rsidRDefault="00EA5F1A" w:rsidP="00EA5F1A">
            <w:pPr>
              <w:overflowPunct/>
              <w:autoSpaceDE/>
              <w:autoSpaceDN/>
              <w:adjustRightInd/>
              <w:spacing w:after="0"/>
              <w:textAlignment w:val="auto"/>
              <w:rPr>
                <w:rFonts w:eastAsia="Times New Roman"/>
                <w:color w:val="000000"/>
                <w:lang w:val="ru-RU" w:eastAsia="ru-RU"/>
              </w:rPr>
            </w:pPr>
            <w:r w:rsidRPr="00EA5F1A">
              <w:rPr>
                <w:rFonts w:eastAsia="Times New Roman"/>
                <w:color w:val="000000"/>
                <w:lang w:val="ru-RU" w:eastAsia="ru-RU"/>
              </w:rPr>
              <w:t xml:space="preserve">Type I </w:t>
            </w:r>
          </w:p>
        </w:tc>
        <w:tc>
          <w:tcPr>
            <w:tcW w:w="1200" w:type="dxa"/>
            <w:tcBorders>
              <w:top w:val="nil"/>
              <w:left w:val="nil"/>
              <w:bottom w:val="single" w:sz="4" w:space="0" w:color="auto"/>
              <w:right w:val="single" w:sz="4" w:space="0" w:color="auto"/>
            </w:tcBorders>
            <w:shd w:val="clear" w:color="auto" w:fill="auto"/>
            <w:noWrap/>
            <w:vAlign w:val="bottom"/>
            <w:hideMark/>
          </w:tcPr>
          <w:p w14:paraId="51B57E9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w:t>
            </w:r>
          </w:p>
        </w:tc>
        <w:tc>
          <w:tcPr>
            <w:tcW w:w="1200" w:type="dxa"/>
            <w:tcBorders>
              <w:top w:val="nil"/>
              <w:left w:val="nil"/>
              <w:bottom w:val="single" w:sz="4" w:space="0" w:color="auto"/>
              <w:right w:val="single" w:sz="4" w:space="0" w:color="auto"/>
            </w:tcBorders>
            <w:shd w:val="clear" w:color="auto" w:fill="auto"/>
            <w:noWrap/>
            <w:vAlign w:val="bottom"/>
            <w:hideMark/>
          </w:tcPr>
          <w:p w14:paraId="3AC55DE3"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23.3 (0%)</w:t>
            </w:r>
          </w:p>
        </w:tc>
        <w:tc>
          <w:tcPr>
            <w:tcW w:w="1200" w:type="dxa"/>
            <w:tcBorders>
              <w:top w:val="nil"/>
              <w:left w:val="nil"/>
              <w:bottom w:val="single" w:sz="4" w:space="0" w:color="auto"/>
              <w:right w:val="single" w:sz="4" w:space="0" w:color="auto"/>
            </w:tcBorders>
            <w:shd w:val="clear" w:color="auto" w:fill="auto"/>
            <w:noWrap/>
            <w:vAlign w:val="bottom"/>
            <w:hideMark/>
          </w:tcPr>
          <w:p w14:paraId="40AFA5CE"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4.08 (0%)</w:t>
            </w:r>
          </w:p>
        </w:tc>
      </w:tr>
      <w:tr w:rsidR="00EA5F1A" w:rsidRPr="00EA5F1A" w14:paraId="2AD0BBED"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09F5394E"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L = 2, QPSK,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1FA42C12"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174</w:t>
            </w:r>
          </w:p>
        </w:tc>
        <w:tc>
          <w:tcPr>
            <w:tcW w:w="1200" w:type="dxa"/>
            <w:tcBorders>
              <w:top w:val="nil"/>
              <w:left w:val="nil"/>
              <w:bottom w:val="single" w:sz="4" w:space="0" w:color="auto"/>
              <w:right w:val="single" w:sz="4" w:space="0" w:color="auto"/>
            </w:tcBorders>
            <w:shd w:val="clear" w:color="auto" w:fill="auto"/>
            <w:noWrap/>
            <w:vAlign w:val="bottom"/>
            <w:hideMark/>
          </w:tcPr>
          <w:p w14:paraId="783B73F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25.2 (8%)</w:t>
            </w:r>
          </w:p>
        </w:tc>
        <w:tc>
          <w:tcPr>
            <w:tcW w:w="1200" w:type="dxa"/>
            <w:tcBorders>
              <w:top w:val="nil"/>
              <w:left w:val="nil"/>
              <w:bottom w:val="single" w:sz="4" w:space="0" w:color="auto"/>
              <w:right w:val="single" w:sz="4" w:space="0" w:color="auto"/>
            </w:tcBorders>
            <w:shd w:val="clear" w:color="auto" w:fill="auto"/>
            <w:noWrap/>
            <w:vAlign w:val="bottom"/>
            <w:hideMark/>
          </w:tcPr>
          <w:p w14:paraId="1BDDE61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4.79 (17%)</w:t>
            </w:r>
          </w:p>
        </w:tc>
      </w:tr>
      <w:tr w:rsidR="00EA5F1A" w:rsidRPr="00EA5F1A" w14:paraId="1F8D1718"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4C63616"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L = 2, 8-PSK,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6315AC4D"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252</w:t>
            </w:r>
          </w:p>
        </w:tc>
        <w:tc>
          <w:tcPr>
            <w:tcW w:w="1200" w:type="dxa"/>
            <w:tcBorders>
              <w:top w:val="nil"/>
              <w:left w:val="nil"/>
              <w:bottom w:val="single" w:sz="4" w:space="0" w:color="auto"/>
              <w:right w:val="single" w:sz="4" w:space="0" w:color="auto"/>
            </w:tcBorders>
            <w:shd w:val="clear" w:color="auto" w:fill="auto"/>
            <w:noWrap/>
            <w:vAlign w:val="bottom"/>
            <w:hideMark/>
          </w:tcPr>
          <w:p w14:paraId="517FFCA9"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26.2 (13%)</w:t>
            </w:r>
          </w:p>
        </w:tc>
        <w:tc>
          <w:tcPr>
            <w:tcW w:w="1200" w:type="dxa"/>
            <w:tcBorders>
              <w:top w:val="nil"/>
              <w:left w:val="nil"/>
              <w:bottom w:val="single" w:sz="4" w:space="0" w:color="auto"/>
              <w:right w:val="single" w:sz="4" w:space="0" w:color="auto"/>
            </w:tcBorders>
            <w:shd w:val="clear" w:color="auto" w:fill="auto"/>
            <w:noWrap/>
            <w:vAlign w:val="bottom"/>
            <w:hideMark/>
          </w:tcPr>
          <w:p w14:paraId="360CAE72"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5.1 (25%)</w:t>
            </w:r>
          </w:p>
        </w:tc>
      </w:tr>
      <w:tr w:rsidR="00EA5F1A" w:rsidRPr="00EA5F1A" w14:paraId="1D84412A"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02BBB8BB"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L = 2, 8-PSK, SB ampl.</w:t>
            </w:r>
          </w:p>
        </w:tc>
        <w:tc>
          <w:tcPr>
            <w:tcW w:w="1200" w:type="dxa"/>
            <w:tcBorders>
              <w:top w:val="nil"/>
              <w:left w:val="nil"/>
              <w:bottom w:val="single" w:sz="4" w:space="0" w:color="auto"/>
              <w:right w:val="single" w:sz="4" w:space="0" w:color="auto"/>
            </w:tcBorders>
            <w:shd w:val="clear" w:color="auto" w:fill="auto"/>
            <w:noWrap/>
            <w:vAlign w:val="bottom"/>
            <w:hideMark/>
          </w:tcPr>
          <w:p w14:paraId="76AA9C92"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330</w:t>
            </w:r>
          </w:p>
        </w:tc>
        <w:tc>
          <w:tcPr>
            <w:tcW w:w="1200" w:type="dxa"/>
            <w:tcBorders>
              <w:top w:val="nil"/>
              <w:left w:val="nil"/>
              <w:bottom w:val="single" w:sz="4" w:space="0" w:color="auto"/>
              <w:right w:val="single" w:sz="4" w:space="0" w:color="auto"/>
            </w:tcBorders>
            <w:shd w:val="clear" w:color="auto" w:fill="auto"/>
            <w:noWrap/>
            <w:vAlign w:val="bottom"/>
            <w:hideMark/>
          </w:tcPr>
          <w:p w14:paraId="0A45878E"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26.7 (14%)</w:t>
            </w:r>
          </w:p>
        </w:tc>
        <w:tc>
          <w:tcPr>
            <w:tcW w:w="1200" w:type="dxa"/>
            <w:tcBorders>
              <w:top w:val="nil"/>
              <w:left w:val="nil"/>
              <w:bottom w:val="single" w:sz="4" w:space="0" w:color="auto"/>
              <w:right w:val="single" w:sz="4" w:space="0" w:color="auto"/>
            </w:tcBorders>
            <w:shd w:val="clear" w:color="auto" w:fill="auto"/>
            <w:noWrap/>
            <w:vAlign w:val="bottom"/>
            <w:hideMark/>
          </w:tcPr>
          <w:p w14:paraId="286DF60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5.33 (31%)</w:t>
            </w:r>
          </w:p>
        </w:tc>
      </w:tr>
      <w:tr w:rsidR="00EA5F1A" w:rsidRPr="00EA5F1A" w14:paraId="6302D289"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5C49AD5"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L = 4, QPSK,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1274CE86"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406</w:t>
            </w:r>
          </w:p>
        </w:tc>
        <w:tc>
          <w:tcPr>
            <w:tcW w:w="1200" w:type="dxa"/>
            <w:tcBorders>
              <w:top w:val="nil"/>
              <w:left w:val="nil"/>
              <w:bottom w:val="single" w:sz="4" w:space="0" w:color="auto"/>
              <w:right w:val="single" w:sz="4" w:space="0" w:color="auto"/>
            </w:tcBorders>
            <w:shd w:val="clear" w:color="auto" w:fill="auto"/>
            <w:noWrap/>
            <w:vAlign w:val="bottom"/>
            <w:hideMark/>
          </w:tcPr>
          <w:p w14:paraId="2623A8F2"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26.2 (12%)</w:t>
            </w:r>
          </w:p>
        </w:tc>
        <w:tc>
          <w:tcPr>
            <w:tcW w:w="1200" w:type="dxa"/>
            <w:tcBorders>
              <w:top w:val="nil"/>
              <w:left w:val="nil"/>
              <w:bottom w:val="single" w:sz="4" w:space="0" w:color="auto"/>
              <w:right w:val="single" w:sz="4" w:space="0" w:color="auto"/>
            </w:tcBorders>
            <w:shd w:val="clear" w:color="auto" w:fill="auto"/>
            <w:noWrap/>
            <w:vAlign w:val="bottom"/>
            <w:hideMark/>
          </w:tcPr>
          <w:p w14:paraId="41152395"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5.03 (23%)</w:t>
            </w:r>
          </w:p>
        </w:tc>
      </w:tr>
      <w:tr w:rsidR="00EA5F1A" w:rsidRPr="00EA5F1A" w14:paraId="1BC50D61"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E53AF94"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lastRenderedPageBreak/>
              <w:t>Type II, L = 4, 8-PSK, WB ampl.</w:t>
            </w:r>
          </w:p>
        </w:tc>
        <w:tc>
          <w:tcPr>
            <w:tcW w:w="1200" w:type="dxa"/>
            <w:tcBorders>
              <w:top w:val="nil"/>
              <w:left w:val="nil"/>
              <w:bottom w:val="single" w:sz="4" w:space="0" w:color="auto"/>
              <w:right w:val="single" w:sz="4" w:space="0" w:color="auto"/>
            </w:tcBorders>
            <w:shd w:val="clear" w:color="auto" w:fill="auto"/>
            <w:noWrap/>
            <w:vAlign w:val="bottom"/>
            <w:hideMark/>
          </w:tcPr>
          <w:p w14:paraId="6B83AA7D"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588</w:t>
            </w:r>
          </w:p>
        </w:tc>
        <w:tc>
          <w:tcPr>
            <w:tcW w:w="1200" w:type="dxa"/>
            <w:tcBorders>
              <w:top w:val="nil"/>
              <w:left w:val="nil"/>
              <w:bottom w:val="single" w:sz="4" w:space="0" w:color="auto"/>
              <w:right w:val="single" w:sz="4" w:space="0" w:color="auto"/>
            </w:tcBorders>
            <w:shd w:val="clear" w:color="auto" w:fill="auto"/>
            <w:noWrap/>
            <w:vAlign w:val="bottom"/>
            <w:hideMark/>
          </w:tcPr>
          <w:p w14:paraId="353062A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27.2 (17%)</w:t>
            </w:r>
          </w:p>
        </w:tc>
        <w:tc>
          <w:tcPr>
            <w:tcW w:w="1200" w:type="dxa"/>
            <w:tcBorders>
              <w:top w:val="nil"/>
              <w:left w:val="nil"/>
              <w:bottom w:val="single" w:sz="4" w:space="0" w:color="auto"/>
              <w:right w:val="single" w:sz="4" w:space="0" w:color="auto"/>
            </w:tcBorders>
            <w:shd w:val="clear" w:color="auto" w:fill="auto"/>
            <w:noWrap/>
            <w:vAlign w:val="bottom"/>
            <w:hideMark/>
          </w:tcPr>
          <w:p w14:paraId="1C44F05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5.67 (39%)</w:t>
            </w:r>
          </w:p>
        </w:tc>
      </w:tr>
      <w:tr w:rsidR="00EA5F1A" w:rsidRPr="00EA5F1A" w14:paraId="0E3A61FF"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19EF88F"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L = 4, 8-PSK, SB ampl.</w:t>
            </w:r>
          </w:p>
        </w:tc>
        <w:tc>
          <w:tcPr>
            <w:tcW w:w="1200" w:type="dxa"/>
            <w:tcBorders>
              <w:top w:val="nil"/>
              <w:left w:val="nil"/>
              <w:bottom w:val="single" w:sz="4" w:space="0" w:color="auto"/>
              <w:right w:val="single" w:sz="4" w:space="0" w:color="auto"/>
            </w:tcBorders>
            <w:shd w:val="clear" w:color="auto" w:fill="auto"/>
            <w:noWrap/>
            <w:vAlign w:val="bottom"/>
            <w:hideMark/>
          </w:tcPr>
          <w:p w14:paraId="7AB27A3C"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666</w:t>
            </w:r>
          </w:p>
        </w:tc>
        <w:tc>
          <w:tcPr>
            <w:tcW w:w="1200" w:type="dxa"/>
            <w:tcBorders>
              <w:top w:val="nil"/>
              <w:left w:val="nil"/>
              <w:bottom w:val="single" w:sz="4" w:space="0" w:color="auto"/>
              <w:right w:val="single" w:sz="4" w:space="0" w:color="auto"/>
            </w:tcBorders>
            <w:shd w:val="clear" w:color="auto" w:fill="auto"/>
            <w:noWrap/>
            <w:vAlign w:val="bottom"/>
            <w:hideMark/>
          </w:tcPr>
          <w:p w14:paraId="2C084C6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 (20%)</w:t>
            </w:r>
          </w:p>
        </w:tc>
        <w:tc>
          <w:tcPr>
            <w:tcW w:w="1200" w:type="dxa"/>
            <w:tcBorders>
              <w:top w:val="nil"/>
              <w:left w:val="nil"/>
              <w:bottom w:val="single" w:sz="4" w:space="0" w:color="auto"/>
              <w:right w:val="single" w:sz="4" w:space="0" w:color="auto"/>
            </w:tcBorders>
            <w:shd w:val="clear" w:color="auto" w:fill="auto"/>
            <w:noWrap/>
            <w:vAlign w:val="bottom"/>
            <w:hideMark/>
          </w:tcPr>
          <w:p w14:paraId="5567E7F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5.84 (43%)</w:t>
            </w:r>
          </w:p>
        </w:tc>
      </w:tr>
      <w:tr w:rsidR="00EA5F1A" w:rsidRPr="00EA5F1A" w14:paraId="6F731140"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0CE2BC1"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1</w:t>
            </w:r>
          </w:p>
        </w:tc>
        <w:tc>
          <w:tcPr>
            <w:tcW w:w="1200" w:type="dxa"/>
            <w:tcBorders>
              <w:top w:val="nil"/>
              <w:left w:val="nil"/>
              <w:bottom w:val="single" w:sz="4" w:space="0" w:color="auto"/>
              <w:right w:val="single" w:sz="4" w:space="0" w:color="auto"/>
            </w:tcBorders>
            <w:shd w:val="clear" w:color="auto" w:fill="auto"/>
            <w:noWrap/>
            <w:vAlign w:val="bottom"/>
            <w:hideMark/>
          </w:tcPr>
          <w:p w14:paraId="30718D3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44</w:t>
            </w:r>
          </w:p>
        </w:tc>
        <w:tc>
          <w:tcPr>
            <w:tcW w:w="1200" w:type="dxa"/>
            <w:tcBorders>
              <w:top w:val="nil"/>
              <w:left w:val="nil"/>
              <w:bottom w:val="single" w:sz="4" w:space="0" w:color="auto"/>
              <w:right w:val="single" w:sz="4" w:space="0" w:color="auto"/>
            </w:tcBorders>
            <w:shd w:val="clear" w:color="auto" w:fill="auto"/>
            <w:noWrap/>
            <w:vAlign w:val="bottom"/>
            <w:hideMark/>
          </w:tcPr>
          <w:p w14:paraId="0F4250DE"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24.2 (4%)</w:t>
            </w:r>
          </w:p>
        </w:tc>
        <w:tc>
          <w:tcPr>
            <w:tcW w:w="1200" w:type="dxa"/>
            <w:tcBorders>
              <w:top w:val="nil"/>
              <w:left w:val="nil"/>
              <w:bottom w:val="single" w:sz="4" w:space="0" w:color="auto"/>
              <w:right w:val="single" w:sz="4" w:space="0" w:color="auto"/>
            </w:tcBorders>
            <w:shd w:val="clear" w:color="auto" w:fill="auto"/>
            <w:noWrap/>
            <w:vAlign w:val="bottom"/>
            <w:hideMark/>
          </w:tcPr>
          <w:p w14:paraId="7E2513BC"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4.28 (5%)</w:t>
            </w:r>
          </w:p>
        </w:tc>
      </w:tr>
      <w:tr w:rsidR="00EA5F1A" w:rsidRPr="00EA5F1A" w14:paraId="5C2852E2"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C69AB21"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2</w:t>
            </w:r>
          </w:p>
        </w:tc>
        <w:tc>
          <w:tcPr>
            <w:tcW w:w="1200" w:type="dxa"/>
            <w:tcBorders>
              <w:top w:val="nil"/>
              <w:left w:val="nil"/>
              <w:bottom w:val="single" w:sz="4" w:space="0" w:color="auto"/>
              <w:right w:val="single" w:sz="4" w:space="0" w:color="auto"/>
            </w:tcBorders>
            <w:shd w:val="clear" w:color="auto" w:fill="auto"/>
            <w:noWrap/>
            <w:vAlign w:val="bottom"/>
            <w:hideMark/>
          </w:tcPr>
          <w:p w14:paraId="6CD6D399"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86</w:t>
            </w:r>
          </w:p>
        </w:tc>
        <w:tc>
          <w:tcPr>
            <w:tcW w:w="1200" w:type="dxa"/>
            <w:tcBorders>
              <w:top w:val="nil"/>
              <w:left w:val="nil"/>
              <w:bottom w:val="single" w:sz="4" w:space="0" w:color="auto"/>
              <w:right w:val="single" w:sz="4" w:space="0" w:color="auto"/>
            </w:tcBorders>
            <w:shd w:val="clear" w:color="auto" w:fill="auto"/>
            <w:noWrap/>
            <w:vAlign w:val="bottom"/>
            <w:hideMark/>
          </w:tcPr>
          <w:p w14:paraId="088080C8"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24.9 (7%)</w:t>
            </w:r>
          </w:p>
        </w:tc>
        <w:tc>
          <w:tcPr>
            <w:tcW w:w="1200" w:type="dxa"/>
            <w:tcBorders>
              <w:top w:val="nil"/>
              <w:left w:val="nil"/>
              <w:bottom w:val="single" w:sz="4" w:space="0" w:color="auto"/>
              <w:right w:val="single" w:sz="4" w:space="0" w:color="auto"/>
            </w:tcBorders>
            <w:shd w:val="clear" w:color="auto" w:fill="auto"/>
            <w:noWrap/>
            <w:vAlign w:val="bottom"/>
            <w:hideMark/>
          </w:tcPr>
          <w:p w14:paraId="44D93739"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4.47 (9%)</w:t>
            </w:r>
          </w:p>
        </w:tc>
      </w:tr>
      <w:tr w:rsidR="00EA5F1A" w:rsidRPr="00EA5F1A" w14:paraId="068D0E6E"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2008564"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4</w:t>
            </w:r>
          </w:p>
        </w:tc>
        <w:tc>
          <w:tcPr>
            <w:tcW w:w="1200" w:type="dxa"/>
            <w:tcBorders>
              <w:top w:val="nil"/>
              <w:left w:val="nil"/>
              <w:bottom w:val="single" w:sz="4" w:space="0" w:color="auto"/>
              <w:right w:val="single" w:sz="4" w:space="0" w:color="auto"/>
            </w:tcBorders>
            <w:shd w:val="clear" w:color="auto" w:fill="auto"/>
            <w:noWrap/>
            <w:vAlign w:val="bottom"/>
            <w:hideMark/>
          </w:tcPr>
          <w:p w14:paraId="390A0646"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158</w:t>
            </w:r>
          </w:p>
        </w:tc>
        <w:tc>
          <w:tcPr>
            <w:tcW w:w="1200" w:type="dxa"/>
            <w:tcBorders>
              <w:top w:val="nil"/>
              <w:left w:val="nil"/>
              <w:bottom w:val="single" w:sz="4" w:space="0" w:color="auto"/>
              <w:right w:val="single" w:sz="4" w:space="0" w:color="auto"/>
            </w:tcBorders>
            <w:shd w:val="clear" w:color="auto" w:fill="auto"/>
            <w:noWrap/>
            <w:vAlign w:val="bottom"/>
            <w:hideMark/>
          </w:tcPr>
          <w:p w14:paraId="509F871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25.9 (11%)</w:t>
            </w:r>
          </w:p>
        </w:tc>
        <w:tc>
          <w:tcPr>
            <w:tcW w:w="1200" w:type="dxa"/>
            <w:tcBorders>
              <w:top w:val="nil"/>
              <w:left w:val="nil"/>
              <w:bottom w:val="single" w:sz="4" w:space="0" w:color="auto"/>
              <w:right w:val="single" w:sz="4" w:space="0" w:color="auto"/>
            </w:tcBorders>
            <w:shd w:val="clear" w:color="auto" w:fill="auto"/>
            <w:noWrap/>
            <w:vAlign w:val="bottom"/>
            <w:hideMark/>
          </w:tcPr>
          <w:p w14:paraId="130D76A3"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5.06 (24%)</w:t>
            </w:r>
          </w:p>
        </w:tc>
      </w:tr>
      <w:tr w:rsidR="00EA5F1A" w:rsidRPr="00EA5F1A" w14:paraId="5865071C"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C6F42D0"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6</w:t>
            </w:r>
          </w:p>
        </w:tc>
        <w:tc>
          <w:tcPr>
            <w:tcW w:w="1200" w:type="dxa"/>
            <w:tcBorders>
              <w:top w:val="nil"/>
              <w:left w:val="nil"/>
              <w:bottom w:val="single" w:sz="4" w:space="0" w:color="auto"/>
              <w:right w:val="single" w:sz="4" w:space="0" w:color="auto"/>
            </w:tcBorders>
            <w:shd w:val="clear" w:color="auto" w:fill="auto"/>
            <w:noWrap/>
            <w:vAlign w:val="bottom"/>
            <w:hideMark/>
          </w:tcPr>
          <w:p w14:paraId="03630FE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226</w:t>
            </w:r>
          </w:p>
        </w:tc>
        <w:tc>
          <w:tcPr>
            <w:tcW w:w="1200" w:type="dxa"/>
            <w:tcBorders>
              <w:top w:val="nil"/>
              <w:left w:val="nil"/>
              <w:bottom w:val="single" w:sz="4" w:space="0" w:color="auto"/>
              <w:right w:val="single" w:sz="4" w:space="0" w:color="auto"/>
            </w:tcBorders>
            <w:shd w:val="clear" w:color="auto" w:fill="auto"/>
            <w:noWrap/>
            <w:vAlign w:val="bottom"/>
            <w:hideMark/>
          </w:tcPr>
          <w:p w14:paraId="0A6547B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26.1 (12%)</w:t>
            </w:r>
          </w:p>
        </w:tc>
        <w:tc>
          <w:tcPr>
            <w:tcW w:w="1200" w:type="dxa"/>
            <w:tcBorders>
              <w:top w:val="nil"/>
              <w:left w:val="nil"/>
              <w:bottom w:val="single" w:sz="4" w:space="0" w:color="auto"/>
              <w:right w:val="single" w:sz="4" w:space="0" w:color="auto"/>
            </w:tcBorders>
            <w:shd w:val="clear" w:color="auto" w:fill="auto"/>
            <w:noWrap/>
            <w:vAlign w:val="bottom"/>
            <w:hideMark/>
          </w:tcPr>
          <w:p w14:paraId="6A7CFF8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4.82 (18%)</w:t>
            </w:r>
          </w:p>
        </w:tc>
      </w:tr>
      <w:tr w:rsidR="00EA5F1A" w:rsidRPr="00EA5F1A" w14:paraId="158074A6"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36CEA82C"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8</w:t>
            </w:r>
          </w:p>
        </w:tc>
        <w:tc>
          <w:tcPr>
            <w:tcW w:w="1200" w:type="dxa"/>
            <w:tcBorders>
              <w:top w:val="nil"/>
              <w:left w:val="nil"/>
              <w:bottom w:val="single" w:sz="4" w:space="0" w:color="auto"/>
              <w:right w:val="single" w:sz="4" w:space="0" w:color="auto"/>
            </w:tcBorders>
            <w:shd w:val="clear" w:color="auto" w:fill="auto"/>
            <w:noWrap/>
            <w:vAlign w:val="bottom"/>
            <w:hideMark/>
          </w:tcPr>
          <w:p w14:paraId="31166226"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286</w:t>
            </w:r>
          </w:p>
        </w:tc>
        <w:tc>
          <w:tcPr>
            <w:tcW w:w="1200" w:type="dxa"/>
            <w:tcBorders>
              <w:top w:val="nil"/>
              <w:left w:val="nil"/>
              <w:bottom w:val="single" w:sz="4" w:space="0" w:color="auto"/>
              <w:right w:val="single" w:sz="4" w:space="0" w:color="auto"/>
            </w:tcBorders>
            <w:shd w:val="clear" w:color="auto" w:fill="auto"/>
            <w:noWrap/>
            <w:vAlign w:val="bottom"/>
            <w:hideMark/>
          </w:tcPr>
          <w:p w14:paraId="42C00E3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26.4 (13%)</w:t>
            </w:r>
          </w:p>
        </w:tc>
        <w:tc>
          <w:tcPr>
            <w:tcW w:w="1200" w:type="dxa"/>
            <w:tcBorders>
              <w:top w:val="nil"/>
              <w:left w:val="nil"/>
              <w:bottom w:val="single" w:sz="4" w:space="0" w:color="auto"/>
              <w:right w:val="single" w:sz="4" w:space="0" w:color="auto"/>
            </w:tcBorders>
            <w:shd w:val="clear" w:color="auto" w:fill="auto"/>
            <w:noWrap/>
            <w:vAlign w:val="bottom"/>
            <w:hideMark/>
          </w:tcPr>
          <w:p w14:paraId="5CED451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5.2 (27%)</w:t>
            </w:r>
          </w:p>
        </w:tc>
      </w:tr>
      <w:tr w:rsidR="00EA5F1A" w:rsidRPr="00EA5F1A" w14:paraId="753395CA"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C07D05B"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10</w:t>
            </w:r>
          </w:p>
        </w:tc>
        <w:tc>
          <w:tcPr>
            <w:tcW w:w="1200" w:type="dxa"/>
            <w:tcBorders>
              <w:top w:val="nil"/>
              <w:left w:val="nil"/>
              <w:bottom w:val="single" w:sz="4" w:space="0" w:color="auto"/>
              <w:right w:val="single" w:sz="4" w:space="0" w:color="auto"/>
            </w:tcBorders>
            <w:shd w:val="clear" w:color="auto" w:fill="auto"/>
            <w:noWrap/>
            <w:vAlign w:val="bottom"/>
            <w:hideMark/>
          </w:tcPr>
          <w:p w14:paraId="52D11AE9"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348</w:t>
            </w:r>
          </w:p>
        </w:tc>
        <w:tc>
          <w:tcPr>
            <w:tcW w:w="1200" w:type="dxa"/>
            <w:tcBorders>
              <w:top w:val="nil"/>
              <w:left w:val="nil"/>
              <w:bottom w:val="single" w:sz="4" w:space="0" w:color="auto"/>
              <w:right w:val="single" w:sz="4" w:space="0" w:color="auto"/>
            </w:tcBorders>
            <w:shd w:val="clear" w:color="auto" w:fill="auto"/>
            <w:noWrap/>
            <w:vAlign w:val="bottom"/>
            <w:hideMark/>
          </w:tcPr>
          <w:p w14:paraId="3B022D3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26.6 (14%)</w:t>
            </w:r>
          </w:p>
        </w:tc>
        <w:tc>
          <w:tcPr>
            <w:tcW w:w="1200" w:type="dxa"/>
            <w:tcBorders>
              <w:top w:val="nil"/>
              <w:left w:val="nil"/>
              <w:bottom w:val="single" w:sz="4" w:space="0" w:color="auto"/>
              <w:right w:val="single" w:sz="4" w:space="0" w:color="auto"/>
            </w:tcBorders>
            <w:shd w:val="clear" w:color="auto" w:fill="auto"/>
            <w:noWrap/>
            <w:vAlign w:val="bottom"/>
            <w:hideMark/>
          </w:tcPr>
          <w:p w14:paraId="5D8C94C1"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5.23 (28%)</w:t>
            </w:r>
          </w:p>
        </w:tc>
      </w:tr>
      <w:tr w:rsidR="00EA5F1A" w:rsidRPr="00EA5F1A" w14:paraId="1E57271E"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570652E1"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2, S = 12</w:t>
            </w:r>
          </w:p>
        </w:tc>
        <w:tc>
          <w:tcPr>
            <w:tcW w:w="1200" w:type="dxa"/>
            <w:tcBorders>
              <w:top w:val="nil"/>
              <w:left w:val="nil"/>
              <w:bottom w:val="single" w:sz="4" w:space="0" w:color="auto"/>
              <w:right w:val="single" w:sz="4" w:space="0" w:color="auto"/>
            </w:tcBorders>
            <w:shd w:val="clear" w:color="auto" w:fill="auto"/>
            <w:noWrap/>
            <w:vAlign w:val="bottom"/>
            <w:hideMark/>
          </w:tcPr>
          <w:p w14:paraId="28A65C2E"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398</w:t>
            </w:r>
          </w:p>
        </w:tc>
        <w:tc>
          <w:tcPr>
            <w:tcW w:w="1200" w:type="dxa"/>
            <w:tcBorders>
              <w:top w:val="nil"/>
              <w:left w:val="nil"/>
              <w:bottom w:val="single" w:sz="4" w:space="0" w:color="auto"/>
              <w:right w:val="single" w:sz="4" w:space="0" w:color="auto"/>
            </w:tcBorders>
            <w:shd w:val="clear" w:color="auto" w:fill="auto"/>
            <w:noWrap/>
            <w:vAlign w:val="bottom"/>
            <w:hideMark/>
          </w:tcPr>
          <w:p w14:paraId="112B0D68"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26.7 (15%)</w:t>
            </w:r>
          </w:p>
        </w:tc>
        <w:tc>
          <w:tcPr>
            <w:tcW w:w="1200" w:type="dxa"/>
            <w:tcBorders>
              <w:top w:val="nil"/>
              <w:left w:val="nil"/>
              <w:bottom w:val="single" w:sz="4" w:space="0" w:color="auto"/>
              <w:right w:val="single" w:sz="4" w:space="0" w:color="auto"/>
            </w:tcBorders>
            <w:shd w:val="clear" w:color="auto" w:fill="auto"/>
            <w:noWrap/>
            <w:vAlign w:val="bottom"/>
            <w:hideMark/>
          </w:tcPr>
          <w:p w14:paraId="3BAE073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5.41 (32%)</w:t>
            </w:r>
          </w:p>
        </w:tc>
      </w:tr>
      <w:tr w:rsidR="00EA5F1A" w:rsidRPr="00EA5F1A" w14:paraId="614A6AE2"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1084597B"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1</w:t>
            </w:r>
          </w:p>
        </w:tc>
        <w:tc>
          <w:tcPr>
            <w:tcW w:w="1200" w:type="dxa"/>
            <w:tcBorders>
              <w:top w:val="nil"/>
              <w:left w:val="nil"/>
              <w:bottom w:val="single" w:sz="4" w:space="0" w:color="auto"/>
              <w:right w:val="single" w:sz="4" w:space="0" w:color="auto"/>
            </w:tcBorders>
            <w:shd w:val="clear" w:color="auto" w:fill="auto"/>
            <w:noWrap/>
            <w:vAlign w:val="bottom"/>
            <w:hideMark/>
          </w:tcPr>
          <w:p w14:paraId="40698446"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92</w:t>
            </w:r>
          </w:p>
        </w:tc>
        <w:tc>
          <w:tcPr>
            <w:tcW w:w="1200" w:type="dxa"/>
            <w:tcBorders>
              <w:top w:val="nil"/>
              <w:left w:val="nil"/>
              <w:bottom w:val="single" w:sz="4" w:space="0" w:color="auto"/>
              <w:right w:val="single" w:sz="4" w:space="0" w:color="auto"/>
            </w:tcBorders>
            <w:shd w:val="clear" w:color="auto" w:fill="auto"/>
            <w:noWrap/>
            <w:vAlign w:val="bottom"/>
            <w:hideMark/>
          </w:tcPr>
          <w:p w14:paraId="2B043AF0"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25.2 (8%)</w:t>
            </w:r>
          </w:p>
        </w:tc>
        <w:tc>
          <w:tcPr>
            <w:tcW w:w="1200" w:type="dxa"/>
            <w:tcBorders>
              <w:top w:val="nil"/>
              <w:left w:val="nil"/>
              <w:bottom w:val="single" w:sz="4" w:space="0" w:color="auto"/>
              <w:right w:val="single" w:sz="4" w:space="0" w:color="auto"/>
            </w:tcBorders>
            <w:shd w:val="clear" w:color="auto" w:fill="auto"/>
            <w:noWrap/>
            <w:vAlign w:val="bottom"/>
            <w:hideMark/>
          </w:tcPr>
          <w:p w14:paraId="5C55C3EE"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4.73 (16%)</w:t>
            </w:r>
          </w:p>
        </w:tc>
      </w:tr>
      <w:tr w:rsidR="00EA5F1A" w:rsidRPr="00EA5F1A" w14:paraId="66F1CDB8"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EF34FBE"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2</w:t>
            </w:r>
          </w:p>
        </w:tc>
        <w:tc>
          <w:tcPr>
            <w:tcW w:w="1200" w:type="dxa"/>
            <w:tcBorders>
              <w:top w:val="nil"/>
              <w:left w:val="nil"/>
              <w:bottom w:val="single" w:sz="4" w:space="0" w:color="auto"/>
              <w:right w:val="single" w:sz="4" w:space="0" w:color="auto"/>
            </w:tcBorders>
            <w:shd w:val="clear" w:color="auto" w:fill="auto"/>
            <w:noWrap/>
            <w:vAlign w:val="bottom"/>
            <w:hideMark/>
          </w:tcPr>
          <w:p w14:paraId="57471E96"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182</w:t>
            </w:r>
          </w:p>
        </w:tc>
        <w:tc>
          <w:tcPr>
            <w:tcW w:w="1200" w:type="dxa"/>
            <w:tcBorders>
              <w:top w:val="nil"/>
              <w:left w:val="nil"/>
              <w:bottom w:val="single" w:sz="4" w:space="0" w:color="auto"/>
              <w:right w:val="single" w:sz="4" w:space="0" w:color="auto"/>
            </w:tcBorders>
            <w:shd w:val="clear" w:color="auto" w:fill="auto"/>
            <w:noWrap/>
            <w:vAlign w:val="bottom"/>
            <w:hideMark/>
          </w:tcPr>
          <w:p w14:paraId="5E6D565A"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26.4 (13%)</w:t>
            </w:r>
          </w:p>
        </w:tc>
        <w:tc>
          <w:tcPr>
            <w:tcW w:w="1200" w:type="dxa"/>
            <w:tcBorders>
              <w:top w:val="nil"/>
              <w:left w:val="nil"/>
              <w:bottom w:val="single" w:sz="4" w:space="0" w:color="auto"/>
              <w:right w:val="single" w:sz="4" w:space="0" w:color="auto"/>
            </w:tcBorders>
            <w:shd w:val="clear" w:color="auto" w:fill="auto"/>
            <w:noWrap/>
            <w:vAlign w:val="bottom"/>
            <w:hideMark/>
          </w:tcPr>
          <w:p w14:paraId="2396B02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5.23 (28%)</w:t>
            </w:r>
          </w:p>
        </w:tc>
      </w:tr>
      <w:tr w:rsidR="00EA5F1A" w:rsidRPr="00EA5F1A" w14:paraId="3E4CD2B2"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56DF318"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4</w:t>
            </w:r>
          </w:p>
        </w:tc>
        <w:tc>
          <w:tcPr>
            <w:tcW w:w="1200" w:type="dxa"/>
            <w:tcBorders>
              <w:top w:val="nil"/>
              <w:left w:val="nil"/>
              <w:bottom w:val="single" w:sz="4" w:space="0" w:color="auto"/>
              <w:right w:val="single" w:sz="4" w:space="0" w:color="auto"/>
            </w:tcBorders>
            <w:shd w:val="clear" w:color="auto" w:fill="auto"/>
            <w:noWrap/>
            <w:vAlign w:val="bottom"/>
            <w:hideMark/>
          </w:tcPr>
          <w:p w14:paraId="4613C519"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342</w:t>
            </w:r>
          </w:p>
        </w:tc>
        <w:tc>
          <w:tcPr>
            <w:tcW w:w="1200" w:type="dxa"/>
            <w:tcBorders>
              <w:top w:val="nil"/>
              <w:left w:val="nil"/>
              <w:bottom w:val="single" w:sz="4" w:space="0" w:color="auto"/>
              <w:right w:val="single" w:sz="4" w:space="0" w:color="auto"/>
            </w:tcBorders>
            <w:shd w:val="clear" w:color="auto" w:fill="auto"/>
            <w:noWrap/>
            <w:vAlign w:val="bottom"/>
            <w:hideMark/>
          </w:tcPr>
          <w:p w14:paraId="7F7D20B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27.4 (18%)</w:t>
            </w:r>
          </w:p>
        </w:tc>
        <w:tc>
          <w:tcPr>
            <w:tcW w:w="1200" w:type="dxa"/>
            <w:tcBorders>
              <w:top w:val="nil"/>
              <w:left w:val="nil"/>
              <w:bottom w:val="single" w:sz="4" w:space="0" w:color="auto"/>
              <w:right w:val="single" w:sz="4" w:space="0" w:color="auto"/>
            </w:tcBorders>
            <w:shd w:val="clear" w:color="auto" w:fill="auto"/>
            <w:noWrap/>
            <w:vAlign w:val="bottom"/>
            <w:hideMark/>
          </w:tcPr>
          <w:p w14:paraId="7E5C844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5.44 (33%)</w:t>
            </w:r>
          </w:p>
        </w:tc>
      </w:tr>
      <w:tr w:rsidR="00EA5F1A" w:rsidRPr="00EA5F1A" w14:paraId="6FA3767F"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243BC438"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6</w:t>
            </w:r>
          </w:p>
        </w:tc>
        <w:tc>
          <w:tcPr>
            <w:tcW w:w="1200" w:type="dxa"/>
            <w:tcBorders>
              <w:top w:val="nil"/>
              <w:left w:val="nil"/>
              <w:bottom w:val="single" w:sz="4" w:space="0" w:color="auto"/>
              <w:right w:val="single" w:sz="4" w:space="0" w:color="auto"/>
            </w:tcBorders>
            <w:shd w:val="clear" w:color="auto" w:fill="auto"/>
            <w:noWrap/>
            <w:vAlign w:val="bottom"/>
            <w:hideMark/>
          </w:tcPr>
          <w:p w14:paraId="23E34BB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498</w:t>
            </w:r>
          </w:p>
        </w:tc>
        <w:tc>
          <w:tcPr>
            <w:tcW w:w="1200" w:type="dxa"/>
            <w:tcBorders>
              <w:top w:val="nil"/>
              <w:left w:val="nil"/>
              <w:bottom w:val="single" w:sz="4" w:space="0" w:color="auto"/>
              <w:right w:val="single" w:sz="4" w:space="0" w:color="auto"/>
            </w:tcBorders>
            <w:shd w:val="clear" w:color="auto" w:fill="auto"/>
            <w:noWrap/>
            <w:vAlign w:val="bottom"/>
            <w:hideMark/>
          </w:tcPr>
          <w:p w14:paraId="61DDA917"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28.1 (21%)</w:t>
            </w:r>
          </w:p>
        </w:tc>
        <w:tc>
          <w:tcPr>
            <w:tcW w:w="1200" w:type="dxa"/>
            <w:tcBorders>
              <w:top w:val="nil"/>
              <w:left w:val="nil"/>
              <w:bottom w:val="single" w:sz="4" w:space="0" w:color="auto"/>
              <w:right w:val="single" w:sz="4" w:space="0" w:color="auto"/>
            </w:tcBorders>
            <w:shd w:val="clear" w:color="auto" w:fill="auto"/>
            <w:noWrap/>
            <w:vAlign w:val="bottom"/>
            <w:hideMark/>
          </w:tcPr>
          <w:p w14:paraId="0FACB4DF"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5.8 (42%)</w:t>
            </w:r>
          </w:p>
        </w:tc>
      </w:tr>
      <w:tr w:rsidR="00EA5F1A" w:rsidRPr="00EA5F1A" w14:paraId="6E7AC7FE"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D05DBC6"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8</w:t>
            </w:r>
          </w:p>
        </w:tc>
        <w:tc>
          <w:tcPr>
            <w:tcW w:w="1200" w:type="dxa"/>
            <w:tcBorders>
              <w:top w:val="nil"/>
              <w:left w:val="nil"/>
              <w:bottom w:val="single" w:sz="4" w:space="0" w:color="auto"/>
              <w:right w:val="single" w:sz="4" w:space="0" w:color="auto"/>
            </w:tcBorders>
            <w:shd w:val="clear" w:color="auto" w:fill="auto"/>
            <w:noWrap/>
            <w:vAlign w:val="bottom"/>
            <w:hideMark/>
          </w:tcPr>
          <w:p w14:paraId="14CD1BAA"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638</w:t>
            </w:r>
          </w:p>
        </w:tc>
        <w:tc>
          <w:tcPr>
            <w:tcW w:w="1200" w:type="dxa"/>
            <w:tcBorders>
              <w:top w:val="nil"/>
              <w:left w:val="nil"/>
              <w:bottom w:val="single" w:sz="4" w:space="0" w:color="auto"/>
              <w:right w:val="single" w:sz="4" w:space="0" w:color="auto"/>
            </w:tcBorders>
            <w:shd w:val="clear" w:color="auto" w:fill="auto"/>
            <w:noWrap/>
            <w:vAlign w:val="bottom"/>
            <w:hideMark/>
          </w:tcPr>
          <w:p w14:paraId="1BAB0F6B"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28.5 (22%)</w:t>
            </w:r>
          </w:p>
        </w:tc>
        <w:tc>
          <w:tcPr>
            <w:tcW w:w="1200" w:type="dxa"/>
            <w:tcBorders>
              <w:top w:val="nil"/>
              <w:left w:val="nil"/>
              <w:bottom w:val="single" w:sz="4" w:space="0" w:color="auto"/>
              <w:right w:val="single" w:sz="4" w:space="0" w:color="auto"/>
            </w:tcBorders>
            <w:shd w:val="clear" w:color="auto" w:fill="auto"/>
            <w:noWrap/>
            <w:vAlign w:val="bottom"/>
            <w:hideMark/>
          </w:tcPr>
          <w:p w14:paraId="0C7B3A5D"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6.01 (47%)</w:t>
            </w:r>
          </w:p>
        </w:tc>
      </w:tr>
      <w:tr w:rsidR="00EA5F1A" w:rsidRPr="00EA5F1A" w14:paraId="1AC0B889"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77573CAD"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10</w:t>
            </w:r>
          </w:p>
        </w:tc>
        <w:tc>
          <w:tcPr>
            <w:tcW w:w="1200" w:type="dxa"/>
            <w:tcBorders>
              <w:top w:val="nil"/>
              <w:left w:val="nil"/>
              <w:bottom w:val="single" w:sz="4" w:space="0" w:color="auto"/>
              <w:right w:val="single" w:sz="4" w:space="0" w:color="auto"/>
            </w:tcBorders>
            <w:shd w:val="clear" w:color="auto" w:fill="auto"/>
            <w:noWrap/>
            <w:vAlign w:val="bottom"/>
            <w:hideMark/>
          </w:tcPr>
          <w:p w14:paraId="68BFBE25"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788</w:t>
            </w:r>
          </w:p>
        </w:tc>
        <w:tc>
          <w:tcPr>
            <w:tcW w:w="1200" w:type="dxa"/>
            <w:tcBorders>
              <w:top w:val="nil"/>
              <w:left w:val="nil"/>
              <w:bottom w:val="single" w:sz="4" w:space="0" w:color="auto"/>
              <w:right w:val="single" w:sz="4" w:space="0" w:color="auto"/>
            </w:tcBorders>
            <w:shd w:val="clear" w:color="auto" w:fill="auto"/>
            <w:noWrap/>
            <w:vAlign w:val="bottom"/>
            <w:hideMark/>
          </w:tcPr>
          <w:p w14:paraId="1EEE70AD"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28.7 (23%)</w:t>
            </w:r>
          </w:p>
        </w:tc>
        <w:tc>
          <w:tcPr>
            <w:tcW w:w="1200" w:type="dxa"/>
            <w:tcBorders>
              <w:top w:val="nil"/>
              <w:left w:val="nil"/>
              <w:bottom w:val="single" w:sz="4" w:space="0" w:color="auto"/>
              <w:right w:val="single" w:sz="4" w:space="0" w:color="auto"/>
            </w:tcBorders>
            <w:shd w:val="clear" w:color="auto" w:fill="auto"/>
            <w:noWrap/>
            <w:vAlign w:val="bottom"/>
            <w:hideMark/>
          </w:tcPr>
          <w:p w14:paraId="3C657184"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5.97 (46%)</w:t>
            </w:r>
          </w:p>
        </w:tc>
      </w:tr>
      <w:tr w:rsidR="00EA5F1A" w:rsidRPr="00EA5F1A" w14:paraId="2D4C1E8A" w14:textId="77777777" w:rsidTr="00EA5F1A">
        <w:trPr>
          <w:trHeight w:val="300"/>
          <w:jc w:val="center"/>
        </w:trPr>
        <w:tc>
          <w:tcPr>
            <w:tcW w:w="3760" w:type="dxa"/>
            <w:tcBorders>
              <w:top w:val="nil"/>
              <w:left w:val="single" w:sz="4" w:space="0" w:color="auto"/>
              <w:bottom w:val="single" w:sz="4" w:space="0" w:color="auto"/>
              <w:right w:val="single" w:sz="4" w:space="0" w:color="auto"/>
            </w:tcBorders>
            <w:shd w:val="clear" w:color="auto" w:fill="auto"/>
            <w:noWrap/>
            <w:vAlign w:val="bottom"/>
            <w:hideMark/>
          </w:tcPr>
          <w:p w14:paraId="6E74229A" w14:textId="77777777" w:rsidR="00EA5F1A" w:rsidRPr="00EA5F1A" w:rsidRDefault="00EA5F1A" w:rsidP="00EA5F1A">
            <w:pPr>
              <w:overflowPunct/>
              <w:autoSpaceDE/>
              <w:autoSpaceDN/>
              <w:adjustRightInd/>
              <w:spacing w:after="0"/>
              <w:textAlignment w:val="auto"/>
              <w:rPr>
                <w:rFonts w:eastAsia="Times New Roman"/>
                <w:color w:val="000000"/>
                <w:lang w:val="en-US" w:eastAsia="ru-RU"/>
              </w:rPr>
            </w:pPr>
            <w:r w:rsidRPr="00EA5F1A">
              <w:rPr>
                <w:rFonts w:eastAsia="Times New Roman"/>
                <w:color w:val="000000"/>
                <w:lang w:val="en-US" w:eastAsia="ru-RU"/>
              </w:rPr>
              <w:t>Type II compression, L =  4, S = 12</w:t>
            </w:r>
          </w:p>
        </w:tc>
        <w:tc>
          <w:tcPr>
            <w:tcW w:w="1200" w:type="dxa"/>
            <w:tcBorders>
              <w:top w:val="nil"/>
              <w:left w:val="nil"/>
              <w:bottom w:val="single" w:sz="4" w:space="0" w:color="auto"/>
              <w:right w:val="single" w:sz="4" w:space="0" w:color="auto"/>
            </w:tcBorders>
            <w:shd w:val="clear" w:color="auto" w:fill="auto"/>
            <w:noWrap/>
            <w:vAlign w:val="bottom"/>
            <w:hideMark/>
          </w:tcPr>
          <w:p w14:paraId="78606F0B"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918</w:t>
            </w:r>
          </w:p>
        </w:tc>
        <w:tc>
          <w:tcPr>
            <w:tcW w:w="1200" w:type="dxa"/>
            <w:tcBorders>
              <w:top w:val="nil"/>
              <w:left w:val="nil"/>
              <w:bottom w:val="single" w:sz="4" w:space="0" w:color="auto"/>
              <w:right w:val="single" w:sz="4" w:space="0" w:color="auto"/>
            </w:tcBorders>
            <w:shd w:val="clear" w:color="auto" w:fill="auto"/>
            <w:noWrap/>
            <w:vAlign w:val="bottom"/>
            <w:hideMark/>
          </w:tcPr>
          <w:p w14:paraId="2690F800"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28.9 (24%)</w:t>
            </w:r>
          </w:p>
        </w:tc>
        <w:tc>
          <w:tcPr>
            <w:tcW w:w="1200" w:type="dxa"/>
            <w:tcBorders>
              <w:top w:val="nil"/>
              <w:left w:val="nil"/>
              <w:bottom w:val="single" w:sz="4" w:space="0" w:color="auto"/>
              <w:right w:val="single" w:sz="4" w:space="0" w:color="auto"/>
            </w:tcBorders>
            <w:shd w:val="clear" w:color="auto" w:fill="auto"/>
            <w:noWrap/>
            <w:vAlign w:val="bottom"/>
            <w:hideMark/>
          </w:tcPr>
          <w:p w14:paraId="2286ED58" w14:textId="77777777" w:rsidR="00EA5F1A" w:rsidRPr="00EA5F1A" w:rsidRDefault="00EA5F1A" w:rsidP="00EA5F1A">
            <w:pPr>
              <w:overflowPunct/>
              <w:autoSpaceDE/>
              <w:autoSpaceDN/>
              <w:adjustRightInd/>
              <w:spacing w:after="0"/>
              <w:jc w:val="right"/>
              <w:textAlignment w:val="auto"/>
              <w:rPr>
                <w:rFonts w:eastAsia="Times New Roman"/>
                <w:color w:val="000000"/>
                <w:lang w:val="ru-RU" w:eastAsia="ru-RU"/>
              </w:rPr>
            </w:pPr>
            <w:r w:rsidRPr="00EA5F1A">
              <w:rPr>
                <w:rFonts w:eastAsia="Times New Roman"/>
                <w:color w:val="000000"/>
                <w:lang w:val="ru-RU" w:eastAsia="ru-RU"/>
              </w:rPr>
              <w:t>6.06 (48%)</w:t>
            </w:r>
          </w:p>
        </w:tc>
      </w:tr>
    </w:tbl>
    <w:p w14:paraId="6829314E" w14:textId="77777777" w:rsidR="00783C3E" w:rsidRDefault="00783C3E" w:rsidP="00783C3E">
      <w:pPr>
        <w:jc w:val="center"/>
        <w:rPr>
          <w:b/>
          <w:lang w:val="en-US"/>
        </w:rPr>
      </w:pPr>
    </w:p>
    <w:p w14:paraId="7D9A3B34" w14:textId="4CA9C3EF" w:rsidR="00783C3E" w:rsidRPr="008A0265" w:rsidRDefault="00783C3E" w:rsidP="00783C3E">
      <w:pPr>
        <w:jc w:val="center"/>
        <w:rPr>
          <w:sz w:val="22"/>
          <w:szCs w:val="22"/>
          <w:lang w:val="en-US"/>
        </w:rPr>
      </w:pPr>
      <w:r w:rsidRPr="008A0265">
        <w:rPr>
          <w:b/>
          <w:sz w:val="22"/>
          <w:szCs w:val="22"/>
          <w:lang w:val="en-US"/>
        </w:rPr>
        <w:t>Table 3.</w:t>
      </w:r>
      <w:r w:rsidRPr="008A0265">
        <w:rPr>
          <w:sz w:val="22"/>
          <w:szCs w:val="22"/>
          <w:lang w:val="en-US"/>
        </w:rPr>
        <w:t xml:space="preserve"> Evaluation assumptions</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B709C5" w14:paraId="4303B8FC"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21734" w14:textId="77777777" w:rsidR="00B709C5" w:rsidRDefault="00B709C5" w:rsidP="00CA5792">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CB125CB" w14:textId="77777777" w:rsidR="00B709C5" w:rsidRDefault="00B709C5" w:rsidP="00CA5792">
            <w:pPr>
              <w:pStyle w:val="NormalsmallspacingBold"/>
              <w:jc w:val="center"/>
            </w:pPr>
            <w:r>
              <w:t>Value</w:t>
            </w:r>
          </w:p>
        </w:tc>
      </w:tr>
      <w:tr w:rsidR="00B709C5" w14:paraId="7B110304"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DC6608" w14:textId="77777777" w:rsidR="00B709C5" w:rsidRDefault="00B709C5" w:rsidP="00CA5792">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242E327" w14:textId="5B3438C9" w:rsidR="00B709C5" w:rsidRPr="007E1C8E" w:rsidRDefault="00CC4A78" w:rsidP="00CA5792">
            <w:pPr>
              <w:pStyle w:val="NormalsmallspacingBold"/>
              <w:rPr>
                <w:b w:val="0"/>
              </w:rPr>
            </w:pPr>
            <w:r w:rsidRPr="00CC4A78">
              <w:rPr>
                <w:b w:val="0"/>
                <w:sz w:val="18"/>
                <w:lang w:eastAsia="x-none"/>
              </w:rPr>
              <w:t>Dense Urban (Macro only)</w:t>
            </w:r>
          </w:p>
        </w:tc>
      </w:tr>
      <w:tr w:rsidR="00B709C5" w14:paraId="214C8FDD"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ADB078" w14:textId="77777777" w:rsidR="00B709C5" w:rsidRDefault="00B709C5" w:rsidP="00CA5792">
            <w:pPr>
              <w:pStyle w:val="NormalsmallspacingBold"/>
            </w:pPr>
            <w:r>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6057BF23" w14:textId="77777777" w:rsidR="00B709C5" w:rsidRDefault="00B709C5" w:rsidP="00CA5792">
            <w:pPr>
              <w:pStyle w:val="NormalsmallspacingBold"/>
              <w:rPr>
                <w:b w:val="0"/>
              </w:rPr>
            </w:pPr>
            <w:r>
              <w:rPr>
                <w:b w:val="0"/>
              </w:rPr>
              <w:t>Hexagonal Grid with 2 tiers</w:t>
            </w:r>
          </w:p>
        </w:tc>
      </w:tr>
      <w:tr w:rsidR="00B709C5" w14:paraId="39057C5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537" w14:textId="77777777" w:rsidR="00B709C5" w:rsidRDefault="00B709C5" w:rsidP="00CA5792">
            <w:pPr>
              <w:pStyle w:val="NormalsmallspacingBold"/>
            </w:pPr>
            <w:r>
              <w:t>ISD</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3957DBD" w14:textId="4BE939FB" w:rsidR="00B709C5" w:rsidRDefault="00CC4A78" w:rsidP="00CA5792">
            <w:pPr>
              <w:pStyle w:val="NormalsmallspacingBold"/>
              <w:rPr>
                <w:b w:val="0"/>
              </w:rPr>
            </w:pPr>
            <w:r>
              <w:rPr>
                <w:b w:val="0"/>
              </w:rPr>
              <w:t>2</w:t>
            </w:r>
            <w:r w:rsidR="00B709C5">
              <w:rPr>
                <w:b w:val="0"/>
              </w:rPr>
              <w:t>00 m</w:t>
            </w:r>
          </w:p>
        </w:tc>
      </w:tr>
      <w:tr w:rsidR="00B709C5" w14:paraId="346BE2F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7F4CA1" w14:textId="77777777" w:rsidR="00B709C5" w:rsidRDefault="00B709C5" w:rsidP="00CA5792">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8AB731D" w14:textId="77777777" w:rsidR="00B709C5" w:rsidRDefault="00B709C5" w:rsidP="00CA5792">
            <w:pPr>
              <w:pStyle w:val="NormalsmallspacingBold"/>
              <w:rPr>
                <w:b w:val="0"/>
              </w:rPr>
            </w:pPr>
            <w:r>
              <w:rPr>
                <w:b w:val="0"/>
              </w:rPr>
              <w:t>4 GHz</w:t>
            </w:r>
          </w:p>
        </w:tc>
      </w:tr>
      <w:tr w:rsidR="00B709C5" w14:paraId="671A6DD9"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EF3038" w14:textId="77777777" w:rsidR="00B709C5" w:rsidRDefault="00B709C5" w:rsidP="00CA5792">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198BF0" w14:textId="1DCB9160" w:rsidR="00B709C5" w:rsidRDefault="00B709C5" w:rsidP="00CA5792">
            <w:pPr>
              <w:pStyle w:val="NormalsmallspacingBold"/>
              <w:rPr>
                <w:b w:val="0"/>
              </w:rPr>
            </w:pPr>
            <w:r>
              <w:rPr>
                <w:b w:val="0"/>
              </w:rPr>
              <w:t>10 MHz</w:t>
            </w:r>
            <w:r w:rsidR="00926EEC">
              <w:rPr>
                <w:b w:val="0"/>
              </w:rPr>
              <w:t xml:space="preserve"> with 15 kHz subcarrier spacing, 52 PRBs</w:t>
            </w:r>
          </w:p>
        </w:tc>
      </w:tr>
      <w:tr w:rsidR="00B709C5" w14:paraId="529FF48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F4FABD" w14:textId="77777777" w:rsidR="00B709C5" w:rsidRDefault="00B709C5" w:rsidP="00CA5792">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00442DDC" w14:textId="77777777" w:rsidR="00B709C5" w:rsidRDefault="00B709C5" w:rsidP="00CA5792">
            <w:pPr>
              <w:pStyle w:val="NormalsmallspacingBold"/>
              <w:rPr>
                <w:b w:val="0"/>
              </w:rPr>
            </w:pPr>
            <w:r>
              <w:rPr>
                <w:b w:val="0"/>
              </w:rPr>
              <w:t>41 dBm</w:t>
            </w:r>
          </w:p>
        </w:tc>
      </w:tr>
      <w:tr w:rsidR="00B709C5" w14:paraId="25C47DC7"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742A25" w14:textId="77777777" w:rsidR="00B709C5" w:rsidRDefault="00B709C5" w:rsidP="00CA5792">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C81AC86" w14:textId="77777777" w:rsidR="00B709C5" w:rsidRDefault="00B709C5" w:rsidP="00CA5792">
            <w:pPr>
              <w:pStyle w:val="NormalsmallspacingBold"/>
              <w:rPr>
                <w:b w:val="0"/>
              </w:rPr>
            </w:pPr>
            <w:r>
              <w:rPr>
                <w:b w:val="0"/>
              </w:rPr>
              <w:t>Uniform 20% outdoor (30 km/h), 80% indoor (3 km/h)</w:t>
            </w:r>
          </w:p>
        </w:tc>
      </w:tr>
      <w:tr w:rsidR="00B709C5" w14:paraId="5D76BC7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1A00BF" w14:textId="77777777" w:rsidR="00B709C5" w:rsidRDefault="00B709C5" w:rsidP="00CA5792">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69BAE33" w14:textId="31C15B86" w:rsidR="00B709C5" w:rsidRDefault="004B06E0" w:rsidP="004B06E0">
            <w:pPr>
              <w:pStyle w:val="NormalsmallspacingBold"/>
              <w:rPr>
                <w:b w:val="0"/>
              </w:rPr>
            </w:pPr>
            <w:r>
              <w:rPr>
                <w:b w:val="0"/>
              </w:rPr>
              <w:t>2</w:t>
            </w:r>
            <w:r w:rsidR="00B709C5">
              <w:rPr>
                <w:b w:val="0"/>
              </w:rPr>
              <w:t xml:space="preserve"> Rx X-pol, slant 0/90 degrees</w:t>
            </w:r>
          </w:p>
        </w:tc>
      </w:tr>
      <w:tr w:rsidR="0035685D" w14:paraId="64C69DF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F554F0" w14:textId="32A80865" w:rsidR="0035685D" w:rsidRDefault="0035685D" w:rsidP="00CA5792">
            <w:pPr>
              <w:pStyle w:val="NormalsmallspacingBold"/>
            </w:pPr>
            <w:r>
              <w:t>BS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tcPr>
          <w:p w14:paraId="73C84331" w14:textId="037E6326" w:rsidR="0035685D" w:rsidRDefault="00906D1D" w:rsidP="00CA5792">
            <w:pPr>
              <w:pStyle w:val="NormalsmallspacingBold"/>
              <w:rPr>
                <w:b w:val="0"/>
              </w:rPr>
            </w:pPr>
            <w:r w:rsidRPr="00906D1D">
              <w:rPr>
                <w:b w:val="0"/>
              </w:rPr>
              <w:t>16 ports: (8,4,2,1,1,2,4), (dH,dV) = (0.5, 0.8)λ</w:t>
            </w:r>
          </w:p>
        </w:tc>
      </w:tr>
      <w:tr w:rsidR="00B709C5" w14:paraId="5C14075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28BDDB" w14:textId="77777777" w:rsidR="00B709C5" w:rsidRDefault="00B709C5" w:rsidP="00CA5792">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9083CDF" w14:textId="0E4BDE01" w:rsidR="00B709C5" w:rsidRDefault="00B709C5" w:rsidP="00CA5792">
            <w:pPr>
              <w:pStyle w:val="NormalsmallspacingBold"/>
              <w:rPr>
                <w:b w:val="0"/>
              </w:rPr>
            </w:pPr>
            <w:r>
              <w:rPr>
                <w:b w:val="0"/>
              </w:rPr>
              <w:t>FTP 3</w:t>
            </w:r>
            <w:r w:rsidR="00890A71">
              <w:rPr>
                <w:b w:val="0"/>
              </w:rPr>
              <w:t xml:space="preserve"> </w:t>
            </w:r>
            <w:r w:rsidR="006F3F79">
              <w:rPr>
                <w:b w:val="0"/>
              </w:rPr>
              <w:t>with 10 UEs per cell</w:t>
            </w:r>
            <w:r w:rsidR="00906D1D">
              <w:rPr>
                <w:b w:val="0"/>
              </w:rPr>
              <w:t xml:space="preserve"> and 0.1 </w:t>
            </w:r>
            <w:r w:rsidR="00906D1D" w:rsidRPr="00906D1D">
              <w:rPr>
                <w:b w:val="0"/>
              </w:rPr>
              <w:t>Mbytes</w:t>
            </w:r>
            <w:r w:rsidR="00906D1D">
              <w:rPr>
                <w:b w:val="0"/>
              </w:rPr>
              <w:t xml:space="preserve"> packet size</w:t>
            </w:r>
          </w:p>
        </w:tc>
      </w:tr>
      <w:tr w:rsidR="00B709C5" w14:paraId="0DF2EED1"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6A3D4C" w14:textId="77777777" w:rsidR="00B709C5" w:rsidRDefault="00B709C5" w:rsidP="00CA5792">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1BE31ED" w14:textId="77777777" w:rsidR="00B709C5" w:rsidRDefault="00B709C5" w:rsidP="00CA5792">
            <w:pPr>
              <w:pStyle w:val="NormalsmallspacingBold"/>
              <w:rPr>
                <w:b w:val="0"/>
              </w:rPr>
            </w:pPr>
            <w:r>
              <w:rPr>
                <w:b w:val="0"/>
              </w:rPr>
              <w:t>RSRP based</w:t>
            </w:r>
          </w:p>
          <w:p w14:paraId="488E161B" w14:textId="77777777" w:rsidR="00B709C5" w:rsidRDefault="00B709C5" w:rsidP="00CA5792">
            <w:pPr>
              <w:pStyle w:val="NormalsmallspacingBold"/>
              <w:rPr>
                <w:b w:val="0"/>
              </w:rPr>
            </w:pPr>
            <w:r>
              <w:rPr>
                <w:b w:val="0"/>
              </w:rPr>
              <w:t>Handover margin = 0 dB</w:t>
            </w:r>
          </w:p>
        </w:tc>
      </w:tr>
      <w:tr w:rsidR="00B709C5" w14:paraId="4F6CE135"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3F9971" w14:textId="77777777" w:rsidR="00B709C5" w:rsidRDefault="00B709C5" w:rsidP="00CA5792">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7EEE2996" w14:textId="23070229" w:rsidR="00B709C5" w:rsidRDefault="00B709C5" w:rsidP="00CA5792">
            <w:pPr>
              <w:pStyle w:val="NormalsmallspacingBold"/>
              <w:rPr>
                <w:b w:val="0"/>
              </w:rPr>
            </w:pPr>
            <w:r>
              <w:rPr>
                <w:b w:val="0"/>
              </w:rPr>
              <w:t xml:space="preserve">MU-MIMO with </w:t>
            </w:r>
            <w:r w:rsidR="00906D1D">
              <w:rPr>
                <w:b w:val="0"/>
              </w:rPr>
              <w:t>8</w:t>
            </w:r>
            <w:r>
              <w:rPr>
                <w:b w:val="0"/>
              </w:rPr>
              <w:t xml:space="preserve"> BS layers maximum; </w:t>
            </w:r>
          </w:p>
          <w:p w14:paraId="11BE5FC6" w14:textId="6D0E7DDB" w:rsidR="00B709C5" w:rsidRDefault="00B709C5" w:rsidP="00906D1D">
            <w:pPr>
              <w:pStyle w:val="NormalsmallspacingBold"/>
              <w:rPr>
                <w:b w:val="0"/>
              </w:rPr>
            </w:pPr>
            <w:r>
              <w:rPr>
                <w:b w:val="0"/>
              </w:rPr>
              <w:t xml:space="preserve">Rank adaptation with max rank </w:t>
            </w:r>
            <w:r w:rsidR="00906D1D">
              <w:rPr>
                <w:b w:val="0"/>
              </w:rPr>
              <w:t>2</w:t>
            </w:r>
            <w:r>
              <w:rPr>
                <w:b w:val="0"/>
              </w:rPr>
              <w:t xml:space="preserve"> </w:t>
            </w:r>
          </w:p>
        </w:tc>
      </w:tr>
      <w:tr w:rsidR="00B709C5" w14:paraId="3B21E463"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088386" w14:textId="77777777" w:rsidR="00B709C5" w:rsidRDefault="00B709C5" w:rsidP="00CA5792">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4AA7A48" w14:textId="77777777" w:rsidR="00B709C5" w:rsidRDefault="00B709C5" w:rsidP="00CA5792">
            <w:pPr>
              <w:pStyle w:val="NormalsmallspacingBold"/>
              <w:rPr>
                <w:b w:val="0"/>
              </w:rPr>
            </w:pPr>
            <w:r>
              <w:rPr>
                <w:b w:val="0"/>
              </w:rPr>
              <w:t>Proportional Fair</w:t>
            </w:r>
          </w:p>
        </w:tc>
      </w:tr>
      <w:tr w:rsidR="00B709C5" w14:paraId="3425A1EE"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4387B4" w14:textId="77777777" w:rsidR="00B709C5" w:rsidRDefault="00B709C5" w:rsidP="00CA5792">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1FB9C0C9" w14:textId="77777777" w:rsidR="00B709C5" w:rsidRDefault="00B709C5" w:rsidP="00CA5792">
            <w:pPr>
              <w:pStyle w:val="NormalsmallspacingBold"/>
              <w:rPr>
                <w:b w:val="0"/>
              </w:rPr>
            </w:pPr>
            <w:r>
              <w:rPr>
                <w:b w:val="0"/>
              </w:rPr>
              <w:t>10% BLER target</w:t>
            </w:r>
          </w:p>
        </w:tc>
      </w:tr>
      <w:tr w:rsidR="00B709C5" w14:paraId="0F71D9DB"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C2092B" w14:textId="77777777" w:rsidR="00B709C5" w:rsidRDefault="00B709C5" w:rsidP="00CA5792">
            <w:pPr>
              <w:pStyle w:val="NormalsmallspacingBold"/>
            </w:pPr>
            <w:r>
              <w:t>MU-MIMO precoding</w:t>
            </w:r>
          </w:p>
        </w:tc>
        <w:tc>
          <w:tcPr>
            <w:tcW w:w="5180" w:type="dxa"/>
            <w:tcBorders>
              <w:top w:val="single" w:sz="4" w:space="0" w:color="000000"/>
              <w:left w:val="single" w:sz="4" w:space="0" w:color="000000"/>
              <w:bottom w:val="single" w:sz="4" w:space="0" w:color="000000"/>
              <w:right w:val="single" w:sz="4" w:space="0" w:color="000000"/>
            </w:tcBorders>
            <w:vAlign w:val="center"/>
          </w:tcPr>
          <w:p w14:paraId="08E68B12" w14:textId="77777777" w:rsidR="00B709C5" w:rsidRDefault="00B709C5" w:rsidP="00CA5792">
            <w:pPr>
              <w:pStyle w:val="NormalsmallspacingBold"/>
              <w:rPr>
                <w:b w:val="0"/>
              </w:rPr>
            </w:pPr>
            <w:r>
              <w:rPr>
                <w:b w:val="0"/>
              </w:rPr>
              <w:t>MMSE</w:t>
            </w:r>
          </w:p>
        </w:tc>
      </w:tr>
      <w:tr w:rsidR="00B709C5" w14:paraId="25332678"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BF4F66" w14:textId="77777777" w:rsidR="00B709C5" w:rsidRDefault="00B709C5" w:rsidP="00CA5792">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4F55AF4E" w14:textId="77777777" w:rsidR="00B709C5" w:rsidRDefault="00B709C5" w:rsidP="00CA5792">
            <w:pPr>
              <w:pStyle w:val="NormalsmallspacingBold"/>
              <w:rPr>
                <w:b w:val="0"/>
              </w:rPr>
            </w:pPr>
            <w:r>
              <w:rPr>
                <w:b w:val="0"/>
              </w:rPr>
              <w:t>One vertical beam per TXRU electrically down-tilted to 100 degrees</w:t>
            </w:r>
          </w:p>
        </w:tc>
      </w:tr>
      <w:tr w:rsidR="00B709C5" w14:paraId="4005CE9F"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5788FC" w14:textId="77777777" w:rsidR="00B709C5" w:rsidRDefault="00B709C5" w:rsidP="00CA5792">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72EF8A6" w14:textId="77777777" w:rsidR="00B709C5" w:rsidRDefault="00B709C5" w:rsidP="00CA5792">
            <w:pPr>
              <w:pStyle w:val="NormalsmallspacingBold"/>
              <w:rPr>
                <w:b w:val="0"/>
              </w:rPr>
            </w:pPr>
            <w:r>
              <w:rPr>
                <w:b w:val="0"/>
              </w:rPr>
              <w:t>MMSE-IRC</w:t>
            </w:r>
          </w:p>
        </w:tc>
      </w:tr>
      <w:tr w:rsidR="00B709C5" w14:paraId="77F384C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9D48D31" w14:textId="77777777" w:rsidR="00B709C5" w:rsidRDefault="00B709C5" w:rsidP="00CA5792">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2A396C11" w14:textId="77777777" w:rsidR="00B709C5" w:rsidRDefault="00B709C5" w:rsidP="00CA5792">
            <w:pPr>
              <w:pStyle w:val="NormalsmallspacingBold"/>
              <w:rPr>
                <w:b w:val="0"/>
                <w:lang w:val="ru-RU"/>
              </w:rPr>
            </w:pPr>
            <w:r>
              <w:rPr>
                <w:b w:val="0"/>
              </w:rPr>
              <w:t>9 dB</w:t>
            </w:r>
          </w:p>
        </w:tc>
      </w:tr>
      <w:tr w:rsidR="00B709C5" w14:paraId="378C569A" w14:textId="77777777" w:rsidTr="00CA5792">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3A3790" w14:textId="77777777" w:rsidR="00B709C5" w:rsidRDefault="00B709C5" w:rsidP="00CA5792">
            <w:pPr>
              <w:pStyle w:val="NormalsmallspacingBold"/>
            </w:pPr>
            <w:r>
              <w:t>Max number of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14:paraId="587264A8" w14:textId="77777777" w:rsidR="00B709C5" w:rsidRDefault="00B709C5" w:rsidP="00CA5792">
            <w:pPr>
              <w:pStyle w:val="NormalsmallspacingBold"/>
              <w:rPr>
                <w:b w:val="0"/>
              </w:rPr>
            </w:pPr>
            <w:r>
              <w:rPr>
                <w:b w:val="0"/>
              </w:rPr>
              <w:t>4</w:t>
            </w:r>
          </w:p>
        </w:tc>
      </w:tr>
    </w:tbl>
    <w:p w14:paraId="66D0114C" w14:textId="77777777" w:rsidR="005A4631" w:rsidRPr="006D267C" w:rsidRDefault="005A4631" w:rsidP="00FF29D3">
      <w:pPr>
        <w:rPr>
          <w:sz w:val="22"/>
          <w:lang w:eastAsia="zh-CN"/>
        </w:rPr>
      </w:pPr>
    </w:p>
    <w:sectPr w:rsidR="005A4631" w:rsidRPr="006D267C" w:rsidSect="00733B1F">
      <w:headerReference w:type="even" r:id="rId26"/>
      <w:footerReference w:type="even" r:id="rId27"/>
      <w:footerReference w:type="defaul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75CF9" w14:textId="77777777" w:rsidR="001B38E2" w:rsidRDefault="001B38E2">
      <w:r>
        <w:separator/>
      </w:r>
    </w:p>
  </w:endnote>
  <w:endnote w:type="continuationSeparator" w:id="0">
    <w:p w14:paraId="1D5A1BE4" w14:textId="77777777" w:rsidR="001B38E2" w:rsidRDefault="001B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002BDF" w:rsidRDefault="00002B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002BDF" w:rsidRDefault="00002BD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002BDF" w:rsidRDefault="00002B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06DB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6DBF">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31C1C" w14:textId="77777777" w:rsidR="001B38E2" w:rsidRDefault="001B38E2">
      <w:r>
        <w:separator/>
      </w:r>
    </w:p>
  </w:footnote>
  <w:footnote w:type="continuationSeparator" w:id="0">
    <w:p w14:paraId="3D308B61" w14:textId="77777777" w:rsidR="001B38E2" w:rsidRDefault="001B3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002BDF" w:rsidRDefault="00002B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4E680F"/>
    <w:multiLevelType w:val="hybridMultilevel"/>
    <w:tmpl w:val="945AD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661FD"/>
    <w:multiLevelType w:val="hybridMultilevel"/>
    <w:tmpl w:val="D6C02C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43F6D62"/>
    <w:multiLevelType w:val="hybridMultilevel"/>
    <w:tmpl w:val="3BC2D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B71060"/>
    <w:multiLevelType w:val="hybridMultilevel"/>
    <w:tmpl w:val="6836640C"/>
    <w:lvl w:ilvl="0" w:tplc="08090001">
      <w:start w:val="1"/>
      <w:numFmt w:val="bullet"/>
      <w:lvlText w:val=""/>
      <w:lvlJc w:val="left"/>
      <w:pPr>
        <w:ind w:left="720" w:hanging="360"/>
      </w:pPr>
      <w:rPr>
        <w:rFonts w:ascii="Symbol" w:hAnsi="Symbol" w:hint="default"/>
      </w:rPr>
    </w:lvl>
    <w:lvl w:ilvl="1" w:tplc="90CA02D8">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1F2C1820"/>
    <w:multiLevelType w:val="hybridMultilevel"/>
    <w:tmpl w:val="8F86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2E3363"/>
    <w:multiLevelType w:val="hybridMultilevel"/>
    <w:tmpl w:val="2E0C06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95425C1"/>
    <w:multiLevelType w:val="hybridMultilevel"/>
    <w:tmpl w:val="65E2F8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CE6A78"/>
    <w:multiLevelType w:val="hybridMultilevel"/>
    <w:tmpl w:val="64F476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1F71625"/>
    <w:multiLevelType w:val="hybridMultilevel"/>
    <w:tmpl w:val="5F581E0E"/>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2" w15:restartNumberingAfterBreak="0">
    <w:nsid w:val="32982446"/>
    <w:multiLevelType w:val="hybridMultilevel"/>
    <w:tmpl w:val="439E61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369EA"/>
    <w:multiLevelType w:val="hybridMultilevel"/>
    <w:tmpl w:val="1D548C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F83A5648"/>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404CDF"/>
    <w:multiLevelType w:val="hybridMultilevel"/>
    <w:tmpl w:val="09D6A3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951A2D"/>
    <w:multiLevelType w:val="hybridMultilevel"/>
    <w:tmpl w:val="DE60B222"/>
    <w:lvl w:ilvl="0" w:tplc="0419000F">
      <w:start w:val="1"/>
      <w:numFmt w:val="decimal"/>
      <w:lvlText w:val="%1."/>
      <w:lvlJc w:val="left"/>
      <w:pPr>
        <w:ind w:left="774" w:hanging="360"/>
      </w:pPr>
    </w:lvl>
    <w:lvl w:ilvl="1" w:tplc="04190019" w:tentative="1">
      <w:start w:val="1"/>
      <w:numFmt w:val="lowerLetter"/>
      <w:lvlText w:val="%2."/>
      <w:lvlJc w:val="left"/>
      <w:pPr>
        <w:ind w:left="1494" w:hanging="360"/>
      </w:pPr>
    </w:lvl>
    <w:lvl w:ilvl="2" w:tplc="0419001B" w:tentative="1">
      <w:start w:val="1"/>
      <w:numFmt w:val="lowerRoman"/>
      <w:lvlText w:val="%3."/>
      <w:lvlJc w:val="right"/>
      <w:pPr>
        <w:ind w:left="2214" w:hanging="180"/>
      </w:pPr>
    </w:lvl>
    <w:lvl w:ilvl="3" w:tplc="0419000F" w:tentative="1">
      <w:start w:val="1"/>
      <w:numFmt w:val="decimal"/>
      <w:lvlText w:val="%4."/>
      <w:lvlJc w:val="left"/>
      <w:pPr>
        <w:ind w:left="2934" w:hanging="360"/>
      </w:pPr>
    </w:lvl>
    <w:lvl w:ilvl="4" w:tplc="04190019" w:tentative="1">
      <w:start w:val="1"/>
      <w:numFmt w:val="lowerLetter"/>
      <w:lvlText w:val="%5."/>
      <w:lvlJc w:val="left"/>
      <w:pPr>
        <w:ind w:left="3654" w:hanging="360"/>
      </w:pPr>
    </w:lvl>
    <w:lvl w:ilvl="5" w:tplc="0419001B" w:tentative="1">
      <w:start w:val="1"/>
      <w:numFmt w:val="lowerRoman"/>
      <w:lvlText w:val="%6."/>
      <w:lvlJc w:val="right"/>
      <w:pPr>
        <w:ind w:left="4374" w:hanging="180"/>
      </w:pPr>
    </w:lvl>
    <w:lvl w:ilvl="6" w:tplc="0419000F" w:tentative="1">
      <w:start w:val="1"/>
      <w:numFmt w:val="decimal"/>
      <w:lvlText w:val="%7."/>
      <w:lvlJc w:val="left"/>
      <w:pPr>
        <w:ind w:left="5094" w:hanging="360"/>
      </w:pPr>
    </w:lvl>
    <w:lvl w:ilvl="7" w:tplc="04190019" w:tentative="1">
      <w:start w:val="1"/>
      <w:numFmt w:val="lowerLetter"/>
      <w:lvlText w:val="%8."/>
      <w:lvlJc w:val="left"/>
      <w:pPr>
        <w:ind w:left="5814" w:hanging="360"/>
      </w:pPr>
    </w:lvl>
    <w:lvl w:ilvl="8" w:tplc="0419001B" w:tentative="1">
      <w:start w:val="1"/>
      <w:numFmt w:val="lowerRoman"/>
      <w:lvlText w:val="%9."/>
      <w:lvlJc w:val="right"/>
      <w:pPr>
        <w:ind w:left="6534" w:hanging="180"/>
      </w:pPr>
    </w:lvl>
  </w:abstractNum>
  <w:abstractNum w:abstractNumId="32" w15:restartNumberingAfterBreak="0">
    <w:nsid w:val="5D084946"/>
    <w:multiLevelType w:val="hybridMultilevel"/>
    <w:tmpl w:val="81145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33C6F"/>
    <w:multiLevelType w:val="hybridMultilevel"/>
    <w:tmpl w:val="3D06741A"/>
    <w:lvl w:ilvl="0" w:tplc="0419000F">
      <w:start w:val="1"/>
      <w:numFmt w:val="decimal"/>
      <w:lvlText w:val="%1."/>
      <w:lvlJc w:val="left"/>
      <w:pPr>
        <w:ind w:left="835"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36" w15:restartNumberingAfterBreak="0">
    <w:nsid w:val="625D6627"/>
    <w:multiLevelType w:val="hybridMultilevel"/>
    <w:tmpl w:val="4AA03D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3893C4D"/>
    <w:multiLevelType w:val="hybridMultilevel"/>
    <w:tmpl w:val="2ECE2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D14AC8"/>
    <w:multiLevelType w:val="hybridMultilevel"/>
    <w:tmpl w:val="E9A299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A65B92"/>
    <w:multiLevelType w:val="hybridMultilevel"/>
    <w:tmpl w:val="ADA2C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8107D1"/>
    <w:multiLevelType w:val="hybridMultilevel"/>
    <w:tmpl w:val="5D2617A8"/>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31A88"/>
    <w:multiLevelType w:val="hybridMultilevel"/>
    <w:tmpl w:val="29540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54CE0"/>
    <w:multiLevelType w:val="hybridMultilevel"/>
    <w:tmpl w:val="362460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A93B8F"/>
    <w:multiLevelType w:val="hybridMultilevel"/>
    <w:tmpl w:val="448874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3"/>
  </w:num>
  <w:num w:numId="3">
    <w:abstractNumId w:val="4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9"/>
  </w:num>
  <w:num w:numId="7">
    <w:abstractNumId w:val="4"/>
  </w:num>
  <w:num w:numId="8">
    <w:abstractNumId w:val="34"/>
  </w:num>
  <w:num w:numId="9">
    <w:abstractNumId w:val="1"/>
  </w:num>
  <w:num w:numId="10">
    <w:abstractNumId w:val="37"/>
  </w:num>
  <w:num w:numId="11">
    <w:abstractNumId w:val="10"/>
  </w:num>
  <w:num w:numId="12">
    <w:abstractNumId w:val="33"/>
  </w:num>
  <w:num w:numId="13">
    <w:abstractNumId w:val="19"/>
  </w:num>
  <w:num w:numId="14">
    <w:abstractNumId w:val="24"/>
  </w:num>
  <w:num w:numId="15">
    <w:abstractNumId w:val="18"/>
  </w:num>
  <w:num w:numId="16">
    <w:abstractNumId w:val="32"/>
  </w:num>
  <w:num w:numId="17">
    <w:abstractNumId w:val="3"/>
  </w:num>
  <w:num w:numId="18">
    <w:abstractNumId w:val="36"/>
  </w:num>
  <w:num w:numId="19">
    <w:abstractNumId w:val="46"/>
  </w:num>
  <w:num w:numId="20">
    <w:abstractNumId w:val="39"/>
  </w:num>
  <w:num w:numId="21">
    <w:abstractNumId w:val="35"/>
  </w:num>
  <w:num w:numId="22">
    <w:abstractNumId w:val="7"/>
  </w:num>
  <w:num w:numId="23">
    <w:abstractNumId w:val="31"/>
  </w:num>
  <w:num w:numId="24">
    <w:abstractNumId w:val="9"/>
  </w:num>
  <w:num w:numId="25">
    <w:abstractNumId w:val="2"/>
  </w:num>
  <w:num w:numId="26">
    <w:abstractNumId w:val="16"/>
  </w:num>
  <w:num w:numId="27">
    <w:abstractNumId w:val="23"/>
  </w:num>
  <w:num w:numId="28">
    <w:abstractNumId w:val="44"/>
  </w:num>
  <w:num w:numId="29">
    <w:abstractNumId w:val="26"/>
  </w:num>
  <w:num w:numId="30">
    <w:abstractNumId w:val="11"/>
  </w:num>
  <w:num w:numId="31">
    <w:abstractNumId w:val="6"/>
  </w:num>
  <w:num w:numId="32">
    <w:abstractNumId w:val="8"/>
  </w:num>
  <w:num w:numId="33">
    <w:abstractNumId w:val="27"/>
  </w:num>
  <w:num w:numId="34">
    <w:abstractNumId w:val="15"/>
  </w:num>
  <w:num w:numId="35">
    <w:abstractNumId w:val="14"/>
  </w:num>
  <w:num w:numId="36">
    <w:abstractNumId w:val="28"/>
  </w:num>
  <w:num w:numId="37">
    <w:abstractNumId w:val="21"/>
  </w:num>
  <w:num w:numId="38">
    <w:abstractNumId w:val="45"/>
  </w:num>
  <w:num w:numId="39">
    <w:abstractNumId w:val="42"/>
  </w:num>
  <w:num w:numId="40">
    <w:abstractNumId w:val="41"/>
  </w:num>
  <w:num w:numId="41">
    <w:abstractNumId w:val="40"/>
  </w:num>
  <w:num w:numId="42">
    <w:abstractNumId w:val="17"/>
  </w:num>
  <w:num w:numId="43">
    <w:abstractNumId w:val="38"/>
  </w:num>
  <w:num w:numId="44">
    <w:abstractNumId w:val="5"/>
  </w:num>
  <w:num w:numId="45">
    <w:abstractNumId w:val="22"/>
  </w:num>
  <w:num w:numId="4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780"/>
    <w:rsid w:val="0000689E"/>
    <w:rsid w:val="0000693A"/>
    <w:rsid w:val="00006C0D"/>
    <w:rsid w:val="00006C7A"/>
    <w:rsid w:val="00007207"/>
    <w:rsid w:val="000072BD"/>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802"/>
    <w:rsid w:val="00021C67"/>
    <w:rsid w:val="00021DEC"/>
    <w:rsid w:val="000222F7"/>
    <w:rsid w:val="00022374"/>
    <w:rsid w:val="000226C1"/>
    <w:rsid w:val="000228C4"/>
    <w:rsid w:val="00023545"/>
    <w:rsid w:val="00023564"/>
    <w:rsid w:val="00023C2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C2"/>
    <w:rsid w:val="000350A7"/>
    <w:rsid w:val="000350B6"/>
    <w:rsid w:val="000351E0"/>
    <w:rsid w:val="00035242"/>
    <w:rsid w:val="0003540B"/>
    <w:rsid w:val="00035A1B"/>
    <w:rsid w:val="00035CAB"/>
    <w:rsid w:val="00036A16"/>
    <w:rsid w:val="00036C45"/>
    <w:rsid w:val="00036D25"/>
    <w:rsid w:val="00036FA7"/>
    <w:rsid w:val="000377E3"/>
    <w:rsid w:val="000378F9"/>
    <w:rsid w:val="00037910"/>
    <w:rsid w:val="00037A21"/>
    <w:rsid w:val="00040025"/>
    <w:rsid w:val="000404F2"/>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0F3"/>
    <w:rsid w:val="00085201"/>
    <w:rsid w:val="00085239"/>
    <w:rsid w:val="0008579B"/>
    <w:rsid w:val="000862BA"/>
    <w:rsid w:val="000869AA"/>
    <w:rsid w:val="00086A02"/>
    <w:rsid w:val="00086B50"/>
    <w:rsid w:val="00086C4D"/>
    <w:rsid w:val="00086CF2"/>
    <w:rsid w:val="0008731C"/>
    <w:rsid w:val="0008760B"/>
    <w:rsid w:val="00087881"/>
    <w:rsid w:val="000878FF"/>
    <w:rsid w:val="00087BAB"/>
    <w:rsid w:val="00087E29"/>
    <w:rsid w:val="00087F91"/>
    <w:rsid w:val="00090228"/>
    <w:rsid w:val="00090573"/>
    <w:rsid w:val="00090586"/>
    <w:rsid w:val="000908EE"/>
    <w:rsid w:val="00090B69"/>
    <w:rsid w:val="00091714"/>
    <w:rsid w:val="00091C08"/>
    <w:rsid w:val="000921E3"/>
    <w:rsid w:val="00092334"/>
    <w:rsid w:val="0009280A"/>
    <w:rsid w:val="000931C3"/>
    <w:rsid w:val="00093B23"/>
    <w:rsid w:val="00093EA6"/>
    <w:rsid w:val="0009437A"/>
    <w:rsid w:val="000947B7"/>
    <w:rsid w:val="00094CFE"/>
    <w:rsid w:val="00094FBC"/>
    <w:rsid w:val="00095127"/>
    <w:rsid w:val="00095671"/>
    <w:rsid w:val="00095920"/>
    <w:rsid w:val="00095F53"/>
    <w:rsid w:val="0009612D"/>
    <w:rsid w:val="0009653B"/>
    <w:rsid w:val="000967BD"/>
    <w:rsid w:val="0009680E"/>
    <w:rsid w:val="000968D8"/>
    <w:rsid w:val="0009709B"/>
    <w:rsid w:val="000979F0"/>
    <w:rsid w:val="00097AE8"/>
    <w:rsid w:val="000A02DC"/>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C88"/>
    <w:rsid w:val="000A7E17"/>
    <w:rsid w:val="000B019A"/>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60B9"/>
    <w:rsid w:val="000B65BE"/>
    <w:rsid w:val="000B6BDF"/>
    <w:rsid w:val="000B6D8D"/>
    <w:rsid w:val="000B7064"/>
    <w:rsid w:val="000B71B6"/>
    <w:rsid w:val="000B7387"/>
    <w:rsid w:val="000B751E"/>
    <w:rsid w:val="000B76BB"/>
    <w:rsid w:val="000B7D5E"/>
    <w:rsid w:val="000B7EAB"/>
    <w:rsid w:val="000C0294"/>
    <w:rsid w:val="000C0884"/>
    <w:rsid w:val="000C133A"/>
    <w:rsid w:val="000C143C"/>
    <w:rsid w:val="000C16DD"/>
    <w:rsid w:val="000C1DBD"/>
    <w:rsid w:val="000C1F69"/>
    <w:rsid w:val="000C2557"/>
    <w:rsid w:val="000C2DE1"/>
    <w:rsid w:val="000C32C8"/>
    <w:rsid w:val="000C36F8"/>
    <w:rsid w:val="000C393F"/>
    <w:rsid w:val="000C3987"/>
    <w:rsid w:val="000C3EB8"/>
    <w:rsid w:val="000C3F16"/>
    <w:rsid w:val="000C44B7"/>
    <w:rsid w:val="000C4664"/>
    <w:rsid w:val="000C4C76"/>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8C"/>
    <w:rsid w:val="000E3075"/>
    <w:rsid w:val="000E3358"/>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535"/>
    <w:rsid w:val="000E7F51"/>
    <w:rsid w:val="000F00D8"/>
    <w:rsid w:val="000F036B"/>
    <w:rsid w:val="000F04CE"/>
    <w:rsid w:val="000F06D8"/>
    <w:rsid w:val="000F095B"/>
    <w:rsid w:val="000F0E9B"/>
    <w:rsid w:val="000F1287"/>
    <w:rsid w:val="000F13C4"/>
    <w:rsid w:val="000F13D7"/>
    <w:rsid w:val="000F17E4"/>
    <w:rsid w:val="000F1B0F"/>
    <w:rsid w:val="000F1CF3"/>
    <w:rsid w:val="000F1D42"/>
    <w:rsid w:val="000F203A"/>
    <w:rsid w:val="000F20CD"/>
    <w:rsid w:val="000F21E3"/>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18D"/>
    <w:rsid w:val="0012022B"/>
    <w:rsid w:val="001203DB"/>
    <w:rsid w:val="00120554"/>
    <w:rsid w:val="0012079F"/>
    <w:rsid w:val="001207F3"/>
    <w:rsid w:val="00120900"/>
    <w:rsid w:val="00120D0F"/>
    <w:rsid w:val="00120D2A"/>
    <w:rsid w:val="00121897"/>
    <w:rsid w:val="00121E20"/>
    <w:rsid w:val="00121FDE"/>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7CF"/>
    <w:rsid w:val="00133B9A"/>
    <w:rsid w:val="00133CA0"/>
    <w:rsid w:val="00133EBD"/>
    <w:rsid w:val="0013404A"/>
    <w:rsid w:val="0013436E"/>
    <w:rsid w:val="001345D5"/>
    <w:rsid w:val="001348C5"/>
    <w:rsid w:val="00134C39"/>
    <w:rsid w:val="00135015"/>
    <w:rsid w:val="00135095"/>
    <w:rsid w:val="001352A6"/>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E46"/>
    <w:rsid w:val="0014206B"/>
    <w:rsid w:val="00142093"/>
    <w:rsid w:val="001426EA"/>
    <w:rsid w:val="00142D3C"/>
    <w:rsid w:val="00142D73"/>
    <w:rsid w:val="00142E42"/>
    <w:rsid w:val="00142F87"/>
    <w:rsid w:val="00143202"/>
    <w:rsid w:val="001433C9"/>
    <w:rsid w:val="0014371C"/>
    <w:rsid w:val="00143763"/>
    <w:rsid w:val="00143932"/>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E6"/>
    <w:rsid w:val="00162F82"/>
    <w:rsid w:val="001630E4"/>
    <w:rsid w:val="00163286"/>
    <w:rsid w:val="001639BC"/>
    <w:rsid w:val="001639E6"/>
    <w:rsid w:val="00163AFC"/>
    <w:rsid w:val="00164646"/>
    <w:rsid w:val="001647FA"/>
    <w:rsid w:val="001649D4"/>
    <w:rsid w:val="00164C22"/>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7E4"/>
    <w:rsid w:val="001A09C2"/>
    <w:rsid w:val="001A10FA"/>
    <w:rsid w:val="001A11B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48D"/>
    <w:rsid w:val="001A4EDF"/>
    <w:rsid w:val="001A5174"/>
    <w:rsid w:val="001A52DC"/>
    <w:rsid w:val="001A61A0"/>
    <w:rsid w:val="001A628F"/>
    <w:rsid w:val="001A65C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8E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264"/>
    <w:rsid w:val="001C3474"/>
    <w:rsid w:val="001C38DA"/>
    <w:rsid w:val="001C3DC6"/>
    <w:rsid w:val="001C3EAD"/>
    <w:rsid w:val="001C3EAE"/>
    <w:rsid w:val="001C4E7B"/>
    <w:rsid w:val="001C4F5F"/>
    <w:rsid w:val="001C518A"/>
    <w:rsid w:val="001C5493"/>
    <w:rsid w:val="001C5594"/>
    <w:rsid w:val="001C57A5"/>
    <w:rsid w:val="001C589B"/>
    <w:rsid w:val="001C58A6"/>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C68"/>
    <w:rsid w:val="001D427B"/>
    <w:rsid w:val="001D4315"/>
    <w:rsid w:val="001D43C0"/>
    <w:rsid w:val="001D452A"/>
    <w:rsid w:val="001D4969"/>
    <w:rsid w:val="001D4AF0"/>
    <w:rsid w:val="001D4F24"/>
    <w:rsid w:val="001D506F"/>
    <w:rsid w:val="001D562F"/>
    <w:rsid w:val="001D57BC"/>
    <w:rsid w:val="001D5990"/>
    <w:rsid w:val="001D5E31"/>
    <w:rsid w:val="001D60A8"/>
    <w:rsid w:val="001D6433"/>
    <w:rsid w:val="001D66A4"/>
    <w:rsid w:val="001D670A"/>
    <w:rsid w:val="001D6E61"/>
    <w:rsid w:val="001D6F30"/>
    <w:rsid w:val="001D7260"/>
    <w:rsid w:val="001D774B"/>
    <w:rsid w:val="001D7816"/>
    <w:rsid w:val="001D7888"/>
    <w:rsid w:val="001D7B96"/>
    <w:rsid w:val="001D7D3D"/>
    <w:rsid w:val="001D7DD5"/>
    <w:rsid w:val="001D7EFB"/>
    <w:rsid w:val="001D7F60"/>
    <w:rsid w:val="001D7FE2"/>
    <w:rsid w:val="001E02C2"/>
    <w:rsid w:val="001E09F4"/>
    <w:rsid w:val="001E0A73"/>
    <w:rsid w:val="001E111F"/>
    <w:rsid w:val="001E1284"/>
    <w:rsid w:val="001E13E0"/>
    <w:rsid w:val="001E1524"/>
    <w:rsid w:val="001E1D3C"/>
    <w:rsid w:val="001E1FD2"/>
    <w:rsid w:val="001E220A"/>
    <w:rsid w:val="001E251E"/>
    <w:rsid w:val="001E266E"/>
    <w:rsid w:val="001E29FE"/>
    <w:rsid w:val="001E2EE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56"/>
    <w:rsid w:val="00200BF9"/>
    <w:rsid w:val="002018D7"/>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15D9"/>
    <w:rsid w:val="0022172A"/>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8D"/>
    <w:rsid w:val="0023776F"/>
    <w:rsid w:val="00237C6F"/>
    <w:rsid w:val="00237D22"/>
    <w:rsid w:val="00237DC4"/>
    <w:rsid w:val="0024018E"/>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ACB"/>
    <w:rsid w:val="00245B70"/>
    <w:rsid w:val="00245BED"/>
    <w:rsid w:val="00245D7D"/>
    <w:rsid w:val="00245E39"/>
    <w:rsid w:val="00245FBA"/>
    <w:rsid w:val="00246C52"/>
    <w:rsid w:val="00246EB6"/>
    <w:rsid w:val="002471AB"/>
    <w:rsid w:val="0024785A"/>
    <w:rsid w:val="00247B6E"/>
    <w:rsid w:val="00247C82"/>
    <w:rsid w:val="00247D8E"/>
    <w:rsid w:val="00247DD1"/>
    <w:rsid w:val="00247E6A"/>
    <w:rsid w:val="002506F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30CC"/>
    <w:rsid w:val="002530D6"/>
    <w:rsid w:val="002530D9"/>
    <w:rsid w:val="0025325D"/>
    <w:rsid w:val="002533FF"/>
    <w:rsid w:val="00253400"/>
    <w:rsid w:val="002537F5"/>
    <w:rsid w:val="00253A89"/>
    <w:rsid w:val="00253D64"/>
    <w:rsid w:val="00254326"/>
    <w:rsid w:val="00254616"/>
    <w:rsid w:val="00254BF6"/>
    <w:rsid w:val="00255315"/>
    <w:rsid w:val="00255709"/>
    <w:rsid w:val="0025587F"/>
    <w:rsid w:val="00255C71"/>
    <w:rsid w:val="00256363"/>
    <w:rsid w:val="0025648C"/>
    <w:rsid w:val="00256868"/>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A94"/>
    <w:rsid w:val="0026716C"/>
    <w:rsid w:val="00267825"/>
    <w:rsid w:val="00267CFE"/>
    <w:rsid w:val="00267EF5"/>
    <w:rsid w:val="00267F60"/>
    <w:rsid w:val="002705A1"/>
    <w:rsid w:val="00270621"/>
    <w:rsid w:val="00270C63"/>
    <w:rsid w:val="00270C98"/>
    <w:rsid w:val="00270D8F"/>
    <w:rsid w:val="00270E57"/>
    <w:rsid w:val="00271736"/>
    <w:rsid w:val="00271738"/>
    <w:rsid w:val="0027193C"/>
    <w:rsid w:val="002719D4"/>
    <w:rsid w:val="00271B1E"/>
    <w:rsid w:val="00271EEF"/>
    <w:rsid w:val="0027242C"/>
    <w:rsid w:val="0027244C"/>
    <w:rsid w:val="00272474"/>
    <w:rsid w:val="002726EE"/>
    <w:rsid w:val="00272C29"/>
    <w:rsid w:val="00272D06"/>
    <w:rsid w:val="00272FEB"/>
    <w:rsid w:val="00273053"/>
    <w:rsid w:val="0027309D"/>
    <w:rsid w:val="0027318B"/>
    <w:rsid w:val="0027323C"/>
    <w:rsid w:val="002732F9"/>
    <w:rsid w:val="002738C9"/>
    <w:rsid w:val="00273B2D"/>
    <w:rsid w:val="00273C94"/>
    <w:rsid w:val="00273CC9"/>
    <w:rsid w:val="00273CFB"/>
    <w:rsid w:val="00274125"/>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7B4"/>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581"/>
    <w:rsid w:val="002A05EF"/>
    <w:rsid w:val="002A0724"/>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4B2"/>
    <w:rsid w:val="002A68D9"/>
    <w:rsid w:val="002A72A9"/>
    <w:rsid w:val="002A732C"/>
    <w:rsid w:val="002A75E3"/>
    <w:rsid w:val="002A76CC"/>
    <w:rsid w:val="002A7A6A"/>
    <w:rsid w:val="002A7AB4"/>
    <w:rsid w:val="002A7B72"/>
    <w:rsid w:val="002B0740"/>
    <w:rsid w:val="002B07BF"/>
    <w:rsid w:val="002B0805"/>
    <w:rsid w:val="002B0C99"/>
    <w:rsid w:val="002B0EDA"/>
    <w:rsid w:val="002B10F9"/>
    <w:rsid w:val="002B112E"/>
    <w:rsid w:val="002B124B"/>
    <w:rsid w:val="002B21D6"/>
    <w:rsid w:val="002B2C92"/>
    <w:rsid w:val="002B2F85"/>
    <w:rsid w:val="002B3081"/>
    <w:rsid w:val="002B318B"/>
    <w:rsid w:val="002B31B6"/>
    <w:rsid w:val="002B32BC"/>
    <w:rsid w:val="002B32BE"/>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B4E"/>
    <w:rsid w:val="002D2FCA"/>
    <w:rsid w:val="002D35C8"/>
    <w:rsid w:val="002D3968"/>
    <w:rsid w:val="002D425A"/>
    <w:rsid w:val="002D4322"/>
    <w:rsid w:val="002D4A54"/>
    <w:rsid w:val="002D4C64"/>
    <w:rsid w:val="002D4E37"/>
    <w:rsid w:val="002D52E0"/>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3BA"/>
    <w:rsid w:val="002E4AF5"/>
    <w:rsid w:val="002E4DC0"/>
    <w:rsid w:val="002E5290"/>
    <w:rsid w:val="002E58E1"/>
    <w:rsid w:val="002E5BDD"/>
    <w:rsid w:val="002E5C56"/>
    <w:rsid w:val="002E5CD6"/>
    <w:rsid w:val="002E633A"/>
    <w:rsid w:val="002E679D"/>
    <w:rsid w:val="002E6994"/>
    <w:rsid w:val="002E7321"/>
    <w:rsid w:val="002E7894"/>
    <w:rsid w:val="002E7ACB"/>
    <w:rsid w:val="002E7BAD"/>
    <w:rsid w:val="002E7FA9"/>
    <w:rsid w:val="002F0045"/>
    <w:rsid w:val="002F00F0"/>
    <w:rsid w:val="002F025B"/>
    <w:rsid w:val="002F0684"/>
    <w:rsid w:val="002F0687"/>
    <w:rsid w:val="002F0ADB"/>
    <w:rsid w:val="002F1246"/>
    <w:rsid w:val="002F1944"/>
    <w:rsid w:val="002F1B45"/>
    <w:rsid w:val="002F22A7"/>
    <w:rsid w:val="002F28CF"/>
    <w:rsid w:val="002F2AE0"/>
    <w:rsid w:val="002F3DEF"/>
    <w:rsid w:val="002F3F16"/>
    <w:rsid w:val="002F413F"/>
    <w:rsid w:val="002F44AD"/>
    <w:rsid w:val="002F45D3"/>
    <w:rsid w:val="002F4934"/>
    <w:rsid w:val="002F4A52"/>
    <w:rsid w:val="002F4CF5"/>
    <w:rsid w:val="002F4EE1"/>
    <w:rsid w:val="002F4F93"/>
    <w:rsid w:val="002F4FC5"/>
    <w:rsid w:val="002F5417"/>
    <w:rsid w:val="002F5422"/>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884"/>
    <w:rsid w:val="0031794B"/>
    <w:rsid w:val="00317D7A"/>
    <w:rsid w:val="003200D5"/>
    <w:rsid w:val="00320B1B"/>
    <w:rsid w:val="00320C4D"/>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83B"/>
    <w:rsid w:val="0033392F"/>
    <w:rsid w:val="00333A4C"/>
    <w:rsid w:val="00334737"/>
    <w:rsid w:val="00334F3E"/>
    <w:rsid w:val="00335250"/>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404F"/>
    <w:rsid w:val="00344291"/>
    <w:rsid w:val="003444ED"/>
    <w:rsid w:val="00344725"/>
    <w:rsid w:val="00344898"/>
    <w:rsid w:val="00344C47"/>
    <w:rsid w:val="0034511B"/>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623"/>
    <w:rsid w:val="0035587A"/>
    <w:rsid w:val="00355A8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E52"/>
    <w:rsid w:val="0037709A"/>
    <w:rsid w:val="00377146"/>
    <w:rsid w:val="0037718E"/>
    <w:rsid w:val="00377332"/>
    <w:rsid w:val="00377397"/>
    <w:rsid w:val="003773F2"/>
    <w:rsid w:val="003774FD"/>
    <w:rsid w:val="003775BD"/>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EC9"/>
    <w:rsid w:val="003C226A"/>
    <w:rsid w:val="003C270B"/>
    <w:rsid w:val="003C2AA3"/>
    <w:rsid w:val="003C2AD0"/>
    <w:rsid w:val="003C2C9D"/>
    <w:rsid w:val="003C3B73"/>
    <w:rsid w:val="003C4002"/>
    <w:rsid w:val="003C4250"/>
    <w:rsid w:val="003C4753"/>
    <w:rsid w:val="003C4771"/>
    <w:rsid w:val="003C4952"/>
    <w:rsid w:val="003C4D16"/>
    <w:rsid w:val="003C4D8C"/>
    <w:rsid w:val="003C4F25"/>
    <w:rsid w:val="003C5037"/>
    <w:rsid w:val="003C592E"/>
    <w:rsid w:val="003C6200"/>
    <w:rsid w:val="003C658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064"/>
    <w:rsid w:val="003E008F"/>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A9A"/>
    <w:rsid w:val="003E1CF4"/>
    <w:rsid w:val="003E22C2"/>
    <w:rsid w:val="003E240A"/>
    <w:rsid w:val="003E24A5"/>
    <w:rsid w:val="003E2BF4"/>
    <w:rsid w:val="003E2CCC"/>
    <w:rsid w:val="003E2EB5"/>
    <w:rsid w:val="003E3217"/>
    <w:rsid w:val="003E34E1"/>
    <w:rsid w:val="003E3524"/>
    <w:rsid w:val="003E3638"/>
    <w:rsid w:val="003E3C5B"/>
    <w:rsid w:val="003E3D11"/>
    <w:rsid w:val="003E40C9"/>
    <w:rsid w:val="003E4155"/>
    <w:rsid w:val="003E44F1"/>
    <w:rsid w:val="003E4CDB"/>
    <w:rsid w:val="003E52EB"/>
    <w:rsid w:val="003E5B5B"/>
    <w:rsid w:val="003E5BA1"/>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244"/>
    <w:rsid w:val="003F23A7"/>
    <w:rsid w:val="003F2564"/>
    <w:rsid w:val="003F2624"/>
    <w:rsid w:val="003F2711"/>
    <w:rsid w:val="003F2A56"/>
    <w:rsid w:val="003F2DEB"/>
    <w:rsid w:val="003F324B"/>
    <w:rsid w:val="003F3652"/>
    <w:rsid w:val="003F3667"/>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8C9"/>
    <w:rsid w:val="0041195D"/>
    <w:rsid w:val="00411B58"/>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96C"/>
    <w:rsid w:val="004159D3"/>
    <w:rsid w:val="00415A14"/>
    <w:rsid w:val="00415CC7"/>
    <w:rsid w:val="0041616C"/>
    <w:rsid w:val="0041618A"/>
    <w:rsid w:val="00416A66"/>
    <w:rsid w:val="00416DCB"/>
    <w:rsid w:val="00417678"/>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C97"/>
    <w:rsid w:val="00425FFD"/>
    <w:rsid w:val="0042611D"/>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EA5"/>
    <w:rsid w:val="00441311"/>
    <w:rsid w:val="0044131C"/>
    <w:rsid w:val="0044142F"/>
    <w:rsid w:val="00441E09"/>
    <w:rsid w:val="004420FE"/>
    <w:rsid w:val="004425C2"/>
    <w:rsid w:val="00442824"/>
    <w:rsid w:val="0044288A"/>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7291"/>
    <w:rsid w:val="00447486"/>
    <w:rsid w:val="004474FA"/>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27C0"/>
    <w:rsid w:val="00453762"/>
    <w:rsid w:val="00453871"/>
    <w:rsid w:val="00453B31"/>
    <w:rsid w:val="00453D65"/>
    <w:rsid w:val="00453DEF"/>
    <w:rsid w:val="004543E4"/>
    <w:rsid w:val="004548E5"/>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080"/>
    <w:rsid w:val="00475131"/>
    <w:rsid w:val="00475260"/>
    <w:rsid w:val="004755D5"/>
    <w:rsid w:val="0047574D"/>
    <w:rsid w:val="00475A1B"/>
    <w:rsid w:val="00475D3E"/>
    <w:rsid w:val="00475E50"/>
    <w:rsid w:val="00475F90"/>
    <w:rsid w:val="00476D8B"/>
    <w:rsid w:val="00476EAE"/>
    <w:rsid w:val="00476FC4"/>
    <w:rsid w:val="004770BE"/>
    <w:rsid w:val="004772D8"/>
    <w:rsid w:val="004774C5"/>
    <w:rsid w:val="004775ED"/>
    <w:rsid w:val="004777C7"/>
    <w:rsid w:val="004802F4"/>
    <w:rsid w:val="004803A9"/>
    <w:rsid w:val="004807D5"/>
    <w:rsid w:val="0048082F"/>
    <w:rsid w:val="004808B5"/>
    <w:rsid w:val="00480B03"/>
    <w:rsid w:val="004810EC"/>
    <w:rsid w:val="00481423"/>
    <w:rsid w:val="0048148F"/>
    <w:rsid w:val="004814F6"/>
    <w:rsid w:val="00481607"/>
    <w:rsid w:val="00481ED4"/>
    <w:rsid w:val="00482358"/>
    <w:rsid w:val="00482389"/>
    <w:rsid w:val="00482849"/>
    <w:rsid w:val="00482943"/>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508F"/>
    <w:rsid w:val="004853DD"/>
    <w:rsid w:val="00485969"/>
    <w:rsid w:val="0048598C"/>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E94"/>
    <w:rsid w:val="00490EE3"/>
    <w:rsid w:val="00490F01"/>
    <w:rsid w:val="0049143D"/>
    <w:rsid w:val="00491728"/>
    <w:rsid w:val="004918A0"/>
    <w:rsid w:val="00491E30"/>
    <w:rsid w:val="004924E5"/>
    <w:rsid w:val="00492619"/>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1E1"/>
    <w:rsid w:val="004A06D4"/>
    <w:rsid w:val="004A0814"/>
    <w:rsid w:val="004A0D1B"/>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69E"/>
    <w:rsid w:val="004B1B53"/>
    <w:rsid w:val="004B1C42"/>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E19"/>
    <w:rsid w:val="004B5E6E"/>
    <w:rsid w:val="004B5F75"/>
    <w:rsid w:val="004B6144"/>
    <w:rsid w:val="004B6271"/>
    <w:rsid w:val="004B6301"/>
    <w:rsid w:val="004B6C98"/>
    <w:rsid w:val="004B6FFB"/>
    <w:rsid w:val="004B7066"/>
    <w:rsid w:val="004B7851"/>
    <w:rsid w:val="004B795F"/>
    <w:rsid w:val="004B7BA5"/>
    <w:rsid w:val="004B7E8D"/>
    <w:rsid w:val="004C0204"/>
    <w:rsid w:val="004C0346"/>
    <w:rsid w:val="004C03CC"/>
    <w:rsid w:val="004C0B5B"/>
    <w:rsid w:val="004C0F99"/>
    <w:rsid w:val="004C11CB"/>
    <w:rsid w:val="004C130D"/>
    <w:rsid w:val="004C132B"/>
    <w:rsid w:val="004C1599"/>
    <w:rsid w:val="004C1624"/>
    <w:rsid w:val="004C2371"/>
    <w:rsid w:val="004C2C4E"/>
    <w:rsid w:val="004C2DCC"/>
    <w:rsid w:val="004C2F01"/>
    <w:rsid w:val="004C3012"/>
    <w:rsid w:val="004C30DE"/>
    <w:rsid w:val="004C311C"/>
    <w:rsid w:val="004C3472"/>
    <w:rsid w:val="004C34E8"/>
    <w:rsid w:val="004C380B"/>
    <w:rsid w:val="004C3A91"/>
    <w:rsid w:val="004C3C51"/>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63A"/>
    <w:rsid w:val="004D4003"/>
    <w:rsid w:val="004D44B1"/>
    <w:rsid w:val="004D47C9"/>
    <w:rsid w:val="004D4968"/>
    <w:rsid w:val="004D4977"/>
    <w:rsid w:val="004D4A8A"/>
    <w:rsid w:val="004D4BEA"/>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B7F"/>
    <w:rsid w:val="004E7E45"/>
    <w:rsid w:val="004F003D"/>
    <w:rsid w:val="004F01B4"/>
    <w:rsid w:val="004F020A"/>
    <w:rsid w:val="004F0663"/>
    <w:rsid w:val="004F080C"/>
    <w:rsid w:val="004F09DA"/>
    <w:rsid w:val="004F09DD"/>
    <w:rsid w:val="004F0B39"/>
    <w:rsid w:val="004F0C82"/>
    <w:rsid w:val="004F133C"/>
    <w:rsid w:val="004F13D2"/>
    <w:rsid w:val="004F1A00"/>
    <w:rsid w:val="004F1AD1"/>
    <w:rsid w:val="004F1D32"/>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270"/>
    <w:rsid w:val="0052694B"/>
    <w:rsid w:val="005269C2"/>
    <w:rsid w:val="00526C8A"/>
    <w:rsid w:val="00526E75"/>
    <w:rsid w:val="005273CB"/>
    <w:rsid w:val="005273E8"/>
    <w:rsid w:val="00527489"/>
    <w:rsid w:val="0053012B"/>
    <w:rsid w:val="0053058D"/>
    <w:rsid w:val="00530AFD"/>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1096"/>
    <w:rsid w:val="00541676"/>
    <w:rsid w:val="005417A0"/>
    <w:rsid w:val="0054199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83D"/>
    <w:rsid w:val="005519CC"/>
    <w:rsid w:val="00551E1E"/>
    <w:rsid w:val="00551E52"/>
    <w:rsid w:val="00552038"/>
    <w:rsid w:val="0055233E"/>
    <w:rsid w:val="00552569"/>
    <w:rsid w:val="005526F2"/>
    <w:rsid w:val="005527BC"/>
    <w:rsid w:val="00552FF4"/>
    <w:rsid w:val="0055344D"/>
    <w:rsid w:val="00553C41"/>
    <w:rsid w:val="00553DFF"/>
    <w:rsid w:val="00553EC2"/>
    <w:rsid w:val="0055410A"/>
    <w:rsid w:val="005543EE"/>
    <w:rsid w:val="0055473F"/>
    <w:rsid w:val="005547CB"/>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8D5"/>
    <w:rsid w:val="00560955"/>
    <w:rsid w:val="00560AC9"/>
    <w:rsid w:val="00560DDA"/>
    <w:rsid w:val="00560F9A"/>
    <w:rsid w:val="00561250"/>
    <w:rsid w:val="0056134D"/>
    <w:rsid w:val="005617E8"/>
    <w:rsid w:val="00561932"/>
    <w:rsid w:val="00561A95"/>
    <w:rsid w:val="00561BF6"/>
    <w:rsid w:val="00561E4A"/>
    <w:rsid w:val="005624FA"/>
    <w:rsid w:val="005625FE"/>
    <w:rsid w:val="00562CDC"/>
    <w:rsid w:val="00563855"/>
    <w:rsid w:val="00563D83"/>
    <w:rsid w:val="00563FD2"/>
    <w:rsid w:val="00564333"/>
    <w:rsid w:val="0056434D"/>
    <w:rsid w:val="00564465"/>
    <w:rsid w:val="005646E6"/>
    <w:rsid w:val="00565086"/>
    <w:rsid w:val="005650BF"/>
    <w:rsid w:val="00565679"/>
    <w:rsid w:val="00565878"/>
    <w:rsid w:val="00565BEA"/>
    <w:rsid w:val="00565D4C"/>
    <w:rsid w:val="0056636D"/>
    <w:rsid w:val="0056668C"/>
    <w:rsid w:val="005667B1"/>
    <w:rsid w:val="005669E3"/>
    <w:rsid w:val="00566A42"/>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C08"/>
    <w:rsid w:val="00572370"/>
    <w:rsid w:val="00572557"/>
    <w:rsid w:val="00572583"/>
    <w:rsid w:val="005726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F19"/>
    <w:rsid w:val="00594131"/>
    <w:rsid w:val="005941F3"/>
    <w:rsid w:val="005943C6"/>
    <w:rsid w:val="0059441D"/>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A3A"/>
    <w:rsid w:val="005A6FA1"/>
    <w:rsid w:val="005A7DA6"/>
    <w:rsid w:val="005A7F72"/>
    <w:rsid w:val="005B00F1"/>
    <w:rsid w:val="005B0460"/>
    <w:rsid w:val="005B0604"/>
    <w:rsid w:val="005B0D3E"/>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FAE"/>
    <w:rsid w:val="005B703E"/>
    <w:rsid w:val="005B70E8"/>
    <w:rsid w:val="005B7824"/>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A65"/>
    <w:rsid w:val="005C3CDF"/>
    <w:rsid w:val="005C4ADD"/>
    <w:rsid w:val="005C4B4D"/>
    <w:rsid w:val="005C4DE3"/>
    <w:rsid w:val="005C5379"/>
    <w:rsid w:val="005C5455"/>
    <w:rsid w:val="005C56B4"/>
    <w:rsid w:val="005C5849"/>
    <w:rsid w:val="005C63F0"/>
    <w:rsid w:val="005C64CC"/>
    <w:rsid w:val="005C7340"/>
    <w:rsid w:val="005C7A54"/>
    <w:rsid w:val="005C7CAD"/>
    <w:rsid w:val="005C7EF8"/>
    <w:rsid w:val="005D0102"/>
    <w:rsid w:val="005D02FA"/>
    <w:rsid w:val="005D039B"/>
    <w:rsid w:val="005D047B"/>
    <w:rsid w:val="005D0790"/>
    <w:rsid w:val="005D1A89"/>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F80"/>
    <w:rsid w:val="005E4FBD"/>
    <w:rsid w:val="005E4FDB"/>
    <w:rsid w:val="005E5009"/>
    <w:rsid w:val="005E5518"/>
    <w:rsid w:val="005E5563"/>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7F"/>
    <w:rsid w:val="005F401B"/>
    <w:rsid w:val="005F40E5"/>
    <w:rsid w:val="005F42BA"/>
    <w:rsid w:val="005F4364"/>
    <w:rsid w:val="005F46D9"/>
    <w:rsid w:val="005F4916"/>
    <w:rsid w:val="005F4950"/>
    <w:rsid w:val="005F509E"/>
    <w:rsid w:val="005F51DA"/>
    <w:rsid w:val="005F5239"/>
    <w:rsid w:val="005F54B0"/>
    <w:rsid w:val="005F660A"/>
    <w:rsid w:val="005F6697"/>
    <w:rsid w:val="005F6C11"/>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24D"/>
    <w:rsid w:val="00602354"/>
    <w:rsid w:val="0060254B"/>
    <w:rsid w:val="0060268D"/>
    <w:rsid w:val="006026F1"/>
    <w:rsid w:val="006026F7"/>
    <w:rsid w:val="0060316B"/>
    <w:rsid w:val="0060318C"/>
    <w:rsid w:val="006032D6"/>
    <w:rsid w:val="00603648"/>
    <w:rsid w:val="006039C5"/>
    <w:rsid w:val="00603AD1"/>
    <w:rsid w:val="00603B1B"/>
    <w:rsid w:val="00604148"/>
    <w:rsid w:val="006043D7"/>
    <w:rsid w:val="00604594"/>
    <w:rsid w:val="00604708"/>
    <w:rsid w:val="0060482F"/>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047C"/>
    <w:rsid w:val="00610848"/>
    <w:rsid w:val="00611034"/>
    <w:rsid w:val="006113A9"/>
    <w:rsid w:val="00611E26"/>
    <w:rsid w:val="00611F39"/>
    <w:rsid w:val="006120CB"/>
    <w:rsid w:val="006126E9"/>
    <w:rsid w:val="006128B4"/>
    <w:rsid w:val="00612C73"/>
    <w:rsid w:val="00612D12"/>
    <w:rsid w:val="00613036"/>
    <w:rsid w:val="006134CE"/>
    <w:rsid w:val="006136A4"/>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33DF"/>
    <w:rsid w:val="00623427"/>
    <w:rsid w:val="00623AD1"/>
    <w:rsid w:val="00623EF3"/>
    <w:rsid w:val="0062424C"/>
    <w:rsid w:val="0062427E"/>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72C0"/>
    <w:rsid w:val="006373C7"/>
    <w:rsid w:val="0063745E"/>
    <w:rsid w:val="006374F0"/>
    <w:rsid w:val="006376E2"/>
    <w:rsid w:val="00637C24"/>
    <w:rsid w:val="00637E00"/>
    <w:rsid w:val="00637F57"/>
    <w:rsid w:val="006401C6"/>
    <w:rsid w:val="00640207"/>
    <w:rsid w:val="00640222"/>
    <w:rsid w:val="00640529"/>
    <w:rsid w:val="00640536"/>
    <w:rsid w:val="006409F3"/>
    <w:rsid w:val="00640B73"/>
    <w:rsid w:val="00640DB1"/>
    <w:rsid w:val="00641061"/>
    <w:rsid w:val="006419E1"/>
    <w:rsid w:val="006419ED"/>
    <w:rsid w:val="006426BE"/>
    <w:rsid w:val="00642D10"/>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202"/>
    <w:rsid w:val="00654346"/>
    <w:rsid w:val="006544F6"/>
    <w:rsid w:val="00654A54"/>
    <w:rsid w:val="00654B42"/>
    <w:rsid w:val="00654C81"/>
    <w:rsid w:val="00654D84"/>
    <w:rsid w:val="00655070"/>
    <w:rsid w:val="00655223"/>
    <w:rsid w:val="006556C3"/>
    <w:rsid w:val="00655780"/>
    <w:rsid w:val="0065594D"/>
    <w:rsid w:val="006561FF"/>
    <w:rsid w:val="006564A5"/>
    <w:rsid w:val="00656D6F"/>
    <w:rsid w:val="00657005"/>
    <w:rsid w:val="006578D9"/>
    <w:rsid w:val="00657F67"/>
    <w:rsid w:val="006601F9"/>
    <w:rsid w:val="006602D1"/>
    <w:rsid w:val="006605DC"/>
    <w:rsid w:val="00660A1C"/>
    <w:rsid w:val="00660FB5"/>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72FC"/>
    <w:rsid w:val="006677FA"/>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5BC"/>
    <w:rsid w:val="00673783"/>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8725C"/>
    <w:rsid w:val="00690078"/>
    <w:rsid w:val="00690D12"/>
    <w:rsid w:val="00690E33"/>
    <w:rsid w:val="00690F0E"/>
    <w:rsid w:val="00691278"/>
    <w:rsid w:val="006918F9"/>
    <w:rsid w:val="006919C5"/>
    <w:rsid w:val="00691C7D"/>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334"/>
    <w:rsid w:val="006A3396"/>
    <w:rsid w:val="006A3574"/>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73A"/>
    <w:rsid w:val="006B393F"/>
    <w:rsid w:val="006B3C12"/>
    <w:rsid w:val="006B3E55"/>
    <w:rsid w:val="006B4818"/>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9DD"/>
    <w:rsid w:val="006C0A1A"/>
    <w:rsid w:val="006C12D6"/>
    <w:rsid w:val="006C1B3F"/>
    <w:rsid w:val="006C20C0"/>
    <w:rsid w:val="006C2D5B"/>
    <w:rsid w:val="006C2F89"/>
    <w:rsid w:val="006C375B"/>
    <w:rsid w:val="006C377A"/>
    <w:rsid w:val="006C3F40"/>
    <w:rsid w:val="006C40B9"/>
    <w:rsid w:val="006C44D3"/>
    <w:rsid w:val="006C45C1"/>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E92"/>
    <w:rsid w:val="006C73CA"/>
    <w:rsid w:val="006C75C9"/>
    <w:rsid w:val="006D0233"/>
    <w:rsid w:val="006D03CD"/>
    <w:rsid w:val="006D0A70"/>
    <w:rsid w:val="006D0AD9"/>
    <w:rsid w:val="006D0DED"/>
    <w:rsid w:val="006D0FC9"/>
    <w:rsid w:val="006D1277"/>
    <w:rsid w:val="006D164F"/>
    <w:rsid w:val="006D19ED"/>
    <w:rsid w:val="006D1A23"/>
    <w:rsid w:val="006D1EE3"/>
    <w:rsid w:val="006D1F1A"/>
    <w:rsid w:val="006D21FF"/>
    <w:rsid w:val="006D2440"/>
    <w:rsid w:val="006D247B"/>
    <w:rsid w:val="006D2627"/>
    <w:rsid w:val="006D267C"/>
    <w:rsid w:val="006D31AF"/>
    <w:rsid w:val="006D31DD"/>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F6"/>
    <w:rsid w:val="007036E5"/>
    <w:rsid w:val="007038D5"/>
    <w:rsid w:val="00703E01"/>
    <w:rsid w:val="00704439"/>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C2E"/>
    <w:rsid w:val="00714D6A"/>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C65"/>
    <w:rsid w:val="00725CB6"/>
    <w:rsid w:val="00725D75"/>
    <w:rsid w:val="0072602E"/>
    <w:rsid w:val="00726281"/>
    <w:rsid w:val="0072665F"/>
    <w:rsid w:val="00726661"/>
    <w:rsid w:val="00727E9F"/>
    <w:rsid w:val="00727EBC"/>
    <w:rsid w:val="00730302"/>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76E"/>
    <w:rsid w:val="007457C3"/>
    <w:rsid w:val="00745EBB"/>
    <w:rsid w:val="00746131"/>
    <w:rsid w:val="00746167"/>
    <w:rsid w:val="00746199"/>
    <w:rsid w:val="0074644A"/>
    <w:rsid w:val="00746DF2"/>
    <w:rsid w:val="00747446"/>
    <w:rsid w:val="00747BD8"/>
    <w:rsid w:val="00747E09"/>
    <w:rsid w:val="00747F05"/>
    <w:rsid w:val="00747FE3"/>
    <w:rsid w:val="00750131"/>
    <w:rsid w:val="0075038A"/>
    <w:rsid w:val="0075055F"/>
    <w:rsid w:val="00750771"/>
    <w:rsid w:val="007509F9"/>
    <w:rsid w:val="007515C8"/>
    <w:rsid w:val="007517D1"/>
    <w:rsid w:val="0075197E"/>
    <w:rsid w:val="00751F76"/>
    <w:rsid w:val="00752497"/>
    <w:rsid w:val="007526B0"/>
    <w:rsid w:val="0075288B"/>
    <w:rsid w:val="00752DE9"/>
    <w:rsid w:val="00752FA4"/>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43"/>
    <w:rsid w:val="00757199"/>
    <w:rsid w:val="007572E9"/>
    <w:rsid w:val="00757495"/>
    <w:rsid w:val="00757A61"/>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140"/>
    <w:rsid w:val="00764340"/>
    <w:rsid w:val="0076442F"/>
    <w:rsid w:val="0076492D"/>
    <w:rsid w:val="00764E4E"/>
    <w:rsid w:val="00764EB8"/>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70CEE"/>
    <w:rsid w:val="00770FBC"/>
    <w:rsid w:val="007711E4"/>
    <w:rsid w:val="007718CC"/>
    <w:rsid w:val="007719DC"/>
    <w:rsid w:val="007721AD"/>
    <w:rsid w:val="00772C97"/>
    <w:rsid w:val="00772D15"/>
    <w:rsid w:val="00772DC3"/>
    <w:rsid w:val="00772E92"/>
    <w:rsid w:val="007733C4"/>
    <w:rsid w:val="007743A1"/>
    <w:rsid w:val="007744EF"/>
    <w:rsid w:val="0077483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B"/>
    <w:rsid w:val="00791055"/>
    <w:rsid w:val="007916D2"/>
    <w:rsid w:val="007917E8"/>
    <w:rsid w:val="00791ADE"/>
    <w:rsid w:val="00791BEA"/>
    <w:rsid w:val="007920D9"/>
    <w:rsid w:val="007926B7"/>
    <w:rsid w:val="00792AD9"/>
    <w:rsid w:val="00792DB2"/>
    <w:rsid w:val="00792ECC"/>
    <w:rsid w:val="00792F7F"/>
    <w:rsid w:val="00792FCC"/>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88"/>
    <w:rsid w:val="007A5996"/>
    <w:rsid w:val="007A618D"/>
    <w:rsid w:val="007A6221"/>
    <w:rsid w:val="007A6333"/>
    <w:rsid w:val="007A6477"/>
    <w:rsid w:val="007A6909"/>
    <w:rsid w:val="007A6DE7"/>
    <w:rsid w:val="007A75A3"/>
    <w:rsid w:val="007A7D3E"/>
    <w:rsid w:val="007A7D61"/>
    <w:rsid w:val="007A7EF5"/>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5FF1"/>
    <w:rsid w:val="007B630D"/>
    <w:rsid w:val="007B697F"/>
    <w:rsid w:val="007B6A11"/>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D88"/>
    <w:rsid w:val="007C3DE5"/>
    <w:rsid w:val="007C3EFC"/>
    <w:rsid w:val="007C3F14"/>
    <w:rsid w:val="007C438F"/>
    <w:rsid w:val="007C4485"/>
    <w:rsid w:val="007C49C4"/>
    <w:rsid w:val="007C508D"/>
    <w:rsid w:val="007C515A"/>
    <w:rsid w:val="007C52ED"/>
    <w:rsid w:val="007C5348"/>
    <w:rsid w:val="007C546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706"/>
    <w:rsid w:val="007E47BC"/>
    <w:rsid w:val="007E48CD"/>
    <w:rsid w:val="007E48E4"/>
    <w:rsid w:val="007E4CD7"/>
    <w:rsid w:val="007E4F0D"/>
    <w:rsid w:val="007E511F"/>
    <w:rsid w:val="007E531F"/>
    <w:rsid w:val="007E54DD"/>
    <w:rsid w:val="007E5581"/>
    <w:rsid w:val="007E5A14"/>
    <w:rsid w:val="007E5B22"/>
    <w:rsid w:val="007E5FFD"/>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E1A"/>
    <w:rsid w:val="00815F85"/>
    <w:rsid w:val="00816264"/>
    <w:rsid w:val="00816325"/>
    <w:rsid w:val="008164C2"/>
    <w:rsid w:val="00816654"/>
    <w:rsid w:val="00816A54"/>
    <w:rsid w:val="00816D94"/>
    <w:rsid w:val="00817508"/>
    <w:rsid w:val="00817636"/>
    <w:rsid w:val="0081787C"/>
    <w:rsid w:val="00817B8F"/>
    <w:rsid w:val="00817C96"/>
    <w:rsid w:val="00817D2A"/>
    <w:rsid w:val="00817F27"/>
    <w:rsid w:val="008207B5"/>
    <w:rsid w:val="00820C43"/>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7015"/>
    <w:rsid w:val="00827109"/>
    <w:rsid w:val="00827373"/>
    <w:rsid w:val="00827648"/>
    <w:rsid w:val="00827A41"/>
    <w:rsid w:val="00827AF3"/>
    <w:rsid w:val="00827B00"/>
    <w:rsid w:val="00827CBB"/>
    <w:rsid w:val="0083056F"/>
    <w:rsid w:val="008306B6"/>
    <w:rsid w:val="00830F16"/>
    <w:rsid w:val="00831198"/>
    <w:rsid w:val="00831494"/>
    <w:rsid w:val="008314BC"/>
    <w:rsid w:val="00831AB4"/>
    <w:rsid w:val="00832142"/>
    <w:rsid w:val="008323B6"/>
    <w:rsid w:val="00832929"/>
    <w:rsid w:val="00832A4E"/>
    <w:rsid w:val="00832C18"/>
    <w:rsid w:val="00832CAF"/>
    <w:rsid w:val="0083302B"/>
    <w:rsid w:val="008330DB"/>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37FFC"/>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608"/>
    <w:rsid w:val="00850A70"/>
    <w:rsid w:val="00851076"/>
    <w:rsid w:val="008511B7"/>
    <w:rsid w:val="0085130C"/>
    <w:rsid w:val="008519A8"/>
    <w:rsid w:val="00851B22"/>
    <w:rsid w:val="008521C5"/>
    <w:rsid w:val="00852338"/>
    <w:rsid w:val="00852C5D"/>
    <w:rsid w:val="00852F3B"/>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9DF"/>
    <w:rsid w:val="00856ACF"/>
    <w:rsid w:val="00856E4A"/>
    <w:rsid w:val="00856FF3"/>
    <w:rsid w:val="00857055"/>
    <w:rsid w:val="0085722A"/>
    <w:rsid w:val="00857381"/>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42D9"/>
    <w:rsid w:val="00864578"/>
    <w:rsid w:val="008646B5"/>
    <w:rsid w:val="00864A9F"/>
    <w:rsid w:val="008650AB"/>
    <w:rsid w:val="008653BB"/>
    <w:rsid w:val="00865696"/>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D5F"/>
    <w:rsid w:val="00874E33"/>
    <w:rsid w:val="00874F9B"/>
    <w:rsid w:val="00874FAC"/>
    <w:rsid w:val="0087504C"/>
    <w:rsid w:val="00875905"/>
    <w:rsid w:val="00875A38"/>
    <w:rsid w:val="00875E7F"/>
    <w:rsid w:val="00875F79"/>
    <w:rsid w:val="00875FBD"/>
    <w:rsid w:val="00876212"/>
    <w:rsid w:val="00876321"/>
    <w:rsid w:val="0087654B"/>
    <w:rsid w:val="00876AC7"/>
    <w:rsid w:val="0087707C"/>
    <w:rsid w:val="0087721D"/>
    <w:rsid w:val="008772A5"/>
    <w:rsid w:val="0087746C"/>
    <w:rsid w:val="00877C57"/>
    <w:rsid w:val="00877FA3"/>
    <w:rsid w:val="0088011E"/>
    <w:rsid w:val="008804C9"/>
    <w:rsid w:val="008804DC"/>
    <w:rsid w:val="0088052B"/>
    <w:rsid w:val="00880678"/>
    <w:rsid w:val="00880B3D"/>
    <w:rsid w:val="00880D84"/>
    <w:rsid w:val="00880F69"/>
    <w:rsid w:val="008810DF"/>
    <w:rsid w:val="008810FA"/>
    <w:rsid w:val="00881842"/>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EFC"/>
    <w:rsid w:val="008A00B7"/>
    <w:rsid w:val="008A0173"/>
    <w:rsid w:val="008A0265"/>
    <w:rsid w:val="008A0339"/>
    <w:rsid w:val="008A03A0"/>
    <w:rsid w:val="008A0473"/>
    <w:rsid w:val="008A04C7"/>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5BE"/>
    <w:rsid w:val="008B097E"/>
    <w:rsid w:val="008B0A66"/>
    <w:rsid w:val="008B0B3E"/>
    <w:rsid w:val="008B0C49"/>
    <w:rsid w:val="008B0CD0"/>
    <w:rsid w:val="008B0E6F"/>
    <w:rsid w:val="008B0FE8"/>
    <w:rsid w:val="008B1296"/>
    <w:rsid w:val="008B130E"/>
    <w:rsid w:val="008B13F7"/>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D04"/>
    <w:rsid w:val="008B6E5C"/>
    <w:rsid w:val="008B7394"/>
    <w:rsid w:val="008B73A2"/>
    <w:rsid w:val="008B73D6"/>
    <w:rsid w:val="008B766A"/>
    <w:rsid w:val="008B7836"/>
    <w:rsid w:val="008B7A0E"/>
    <w:rsid w:val="008C0CA1"/>
    <w:rsid w:val="008C0FB9"/>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B47"/>
    <w:rsid w:val="008C4FE4"/>
    <w:rsid w:val="008C52F5"/>
    <w:rsid w:val="008C550E"/>
    <w:rsid w:val="008C57B5"/>
    <w:rsid w:val="008C59BD"/>
    <w:rsid w:val="008C59D5"/>
    <w:rsid w:val="008C5B10"/>
    <w:rsid w:val="008C5D81"/>
    <w:rsid w:val="008C69E1"/>
    <w:rsid w:val="008C6C7A"/>
    <w:rsid w:val="008C6DB7"/>
    <w:rsid w:val="008C6F3C"/>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DE1"/>
    <w:rsid w:val="008E7047"/>
    <w:rsid w:val="008E7724"/>
    <w:rsid w:val="008E7DB3"/>
    <w:rsid w:val="008F01AB"/>
    <w:rsid w:val="008F0460"/>
    <w:rsid w:val="008F096D"/>
    <w:rsid w:val="008F0D27"/>
    <w:rsid w:val="008F131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73A"/>
    <w:rsid w:val="008F4BFE"/>
    <w:rsid w:val="008F4E3F"/>
    <w:rsid w:val="008F5184"/>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85"/>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D1D"/>
    <w:rsid w:val="00906DF9"/>
    <w:rsid w:val="00906EED"/>
    <w:rsid w:val="00907071"/>
    <w:rsid w:val="0090715C"/>
    <w:rsid w:val="00910178"/>
    <w:rsid w:val="00910416"/>
    <w:rsid w:val="009108A7"/>
    <w:rsid w:val="00910ED6"/>
    <w:rsid w:val="00911746"/>
    <w:rsid w:val="009119A0"/>
    <w:rsid w:val="00911E1A"/>
    <w:rsid w:val="00911EDA"/>
    <w:rsid w:val="009120EC"/>
    <w:rsid w:val="009123B9"/>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90D"/>
    <w:rsid w:val="00915DB6"/>
    <w:rsid w:val="0091610F"/>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6F4"/>
    <w:rsid w:val="00940A5D"/>
    <w:rsid w:val="00940BCB"/>
    <w:rsid w:val="00940C1B"/>
    <w:rsid w:val="00940D85"/>
    <w:rsid w:val="00940DF4"/>
    <w:rsid w:val="00940F45"/>
    <w:rsid w:val="00940FB5"/>
    <w:rsid w:val="0094148B"/>
    <w:rsid w:val="00941798"/>
    <w:rsid w:val="00941A1C"/>
    <w:rsid w:val="00941B97"/>
    <w:rsid w:val="00941CE1"/>
    <w:rsid w:val="00941F92"/>
    <w:rsid w:val="009427F4"/>
    <w:rsid w:val="00942BB8"/>
    <w:rsid w:val="0094335F"/>
    <w:rsid w:val="00943738"/>
    <w:rsid w:val="00943786"/>
    <w:rsid w:val="00943A0B"/>
    <w:rsid w:val="00943D09"/>
    <w:rsid w:val="00944202"/>
    <w:rsid w:val="00944335"/>
    <w:rsid w:val="00944710"/>
    <w:rsid w:val="00944AF4"/>
    <w:rsid w:val="00944D54"/>
    <w:rsid w:val="00944EA3"/>
    <w:rsid w:val="00944EC4"/>
    <w:rsid w:val="00945337"/>
    <w:rsid w:val="0094567F"/>
    <w:rsid w:val="009458DC"/>
    <w:rsid w:val="009459DF"/>
    <w:rsid w:val="00945D81"/>
    <w:rsid w:val="00945E49"/>
    <w:rsid w:val="009462D8"/>
    <w:rsid w:val="00946388"/>
    <w:rsid w:val="009469FE"/>
    <w:rsid w:val="00946A96"/>
    <w:rsid w:val="00947328"/>
    <w:rsid w:val="009475DA"/>
    <w:rsid w:val="009477BE"/>
    <w:rsid w:val="00947A30"/>
    <w:rsid w:val="00950033"/>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603AB"/>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691D"/>
    <w:rsid w:val="00966C81"/>
    <w:rsid w:val="00966EC4"/>
    <w:rsid w:val="0096766C"/>
    <w:rsid w:val="00967851"/>
    <w:rsid w:val="00967B67"/>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14D"/>
    <w:rsid w:val="00980403"/>
    <w:rsid w:val="009804CB"/>
    <w:rsid w:val="009808B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956"/>
    <w:rsid w:val="00986BDF"/>
    <w:rsid w:val="00987210"/>
    <w:rsid w:val="009876A0"/>
    <w:rsid w:val="009879B5"/>
    <w:rsid w:val="009879F4"/>
    <w:rsid w:val="00987CEC"/>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EC"/>
    <w:rsid w:val="009C4074"/>
    <w:rsid w:val="009C475E"/>
    <w:rsid w:val="009C48F1"/>
    <w:rsid w:val="009C4A0D"/>
    <w:rsid w:val="009C520B"/>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C84"/>
    <w:rsid w:val="009D0F01"/>
    <w:rsid w:val="009D1371"/>
    <w:rsid w:val="009D1D55"/>
    <w:rsid w:val="009D2118"/>
    <w:rsid w:val="009D22EA"/>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E5"/>
    <w:rsid w:val="009D6B8A"/>
    <w:rsid w:val="009D75A4"/>
    <w:rsid w:val="009E02CF"/>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5DB"/>
    <w:rsid w:val="00A106FD"/>
    <w:rsid w:val="00A106FE"/>
    <w:rsid w:val="00A10764"/>
    <w:rsid w:val="00A107B9"/>
    <w:rsid w:val="00A10AC3"/>
    <w:rsid w:val="00A10B48"/>
    <w:rsid w:val="00A10CB4"/>
    <w:rsid w:val="00A110F2"/>
    <w:rsid w:val="00A114B5"/>
    <w:rsid w:val="00A115BF"/>
    <w:rsid w:val="00A11ACA"/>
    <w:rsid w:val="00A11AE2"/>
    <w:rsid w:val="00A11E0F"/>
    <w:rsid w:val="00A121EA"/>
    <w:rsid w:val="00A12206"/>
    <w:rsid w:val="00A1229B"/>
    <w:rsid w:val="00A12301"/>
    <w:rsid w:val="00A12507"/>
    <w:rsid w:val="00A1260C"/>
    <w:rsid w:val="00A1278D"/>
    <w:rsid w:val="00A129B6"/>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AA"/>
    <w:rsid w:val="00A164DC"/>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4150"/>
    <w:rsid w:val="00A2470A"/>
    <w:rsid w:val="00A2481C"/>
    <w:rsid w:val="00A24CCF"/>
    <w:rsid w:val="00A24D28"/>
    <w:rsid w:val="00A250FE"/>
    <w:rsid w:val="00A25A28"/>
    <w:rsid w:val="00A25D12"/>
    <w:rsid w:val="00A261E4"/>
    <w:rsid w:val="00A26200"/>
    <w:rsid w:val="00A26337"/>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EE"/>
    <w:rsid w:val="00A32461"/>
    <w:rsid w:val="00A325C2"/>
    <w:rsid w:val="00A325CC"/>
    <w:rsid w:val="00A327E2"/>
    <w:rsid w:val="00A32C37"/>
    <w:rsid w:val="00A32DF4"/>
    <w:rsid w:val="00A32DF7"/>
    <w:rsid w:val="00A33248"/>
    <w:rsid w:val="00A3348D"/>
    <w:rsid w:val="00A33678"/>
    <w:rsid w:val="00A33BC8"/>
    <w:rsid w:val="00A33C3D"/>
    <w:rsid w:val="00A33C9E"/>
    <w:rsid w:val="00A33E75"/>
    <w:rsid w:val="00A341F0"/>
    <w:rsid w:val="00A34D39"/>
    <w:rsid w:val="00A3535F"/>
    <w:rsid w:val="00A35735"/>
    <w:rsid w:val="00A3583A"/>
    <w:rsid w:val="00A35A0B"/>
    <w:rsid w:val="00A35CBB"/>
    <w:rsid w:val="00A36027"/>
    <w:rsid w:val="00A362CB"/>
    <w:rsid w:val="00A36694"/>
    <w:rsid w:val="00A3747D"/>
    <w:rsid w:val="00A377EC"/>
    <w:rsid w:val="00A37922"/>
    <w:rsid w:val="00A37A59"/>
    <w:rsid w:val="00A37A76"/>
    <w:rsid w:val="00A37A8E"/>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ED"/>
    <w:rsid w:val="00A47327"/>
    <w:rsid w:val="00A47430"/>
    <w:rsid w:val="00A4761F"/>
    <w:rsid w:val="00A47B4B"/>
    <w:rsid w:val="00A5044D"/>
    <w:rsid w:val="00A5090D"/>
    <w:rsid w:val="00A50AED"/>
    <w:rsid w:val="00A50B00"/>
    <w:rsid w:val="00A511FB"/>
    <w:rsid w:val="00A514EB"/>
    <w:rsid w:val="00A521E0"/>
    <w:rsid w:val="00A52A54"/>
    <w:rsid w:val="00A52B09"/>
    <w:rsid w:val="00A52D1E"/>
    <w:rsid w:val="00A53552"/>
    <w:rsid w:val="00A536AD"/>
    <w:rsid w:val="00A53DDA"/>
    <w:rsid w:val="00A544BF"/>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311"/>
    <w:rsid w:val="00A57C08"/>
    <w:rsid w:val="00A57F96"/>
    <w:rsid w:val="00A60100"/>
    <w:rsid w:val="00A601B7"/>
    <w:rsid w:val="00A602EE"/>
    <w:rsid w:val="00A6098D"/>
    <w:rsid w:val="00A60E31"/>
    <w:rsid w:val="00A61344"/>
    <w:rsid w:val="00A615F0"/>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7C1"/>
    <w:rsid w:val="00A6799D"/>
    <w:rsid w:val="00A67A8E"/>
    <w:rsid w:val="00A67AC6"/>
    <w:rsid w:val="00A67EE0"/>
    <w:rsid w:val="00A70709"/>
    <w:rsid w:val="00A70A35"/>
    <w:rsid w:val="00A7141F"/>
    <w:rsid w:val="00A718A7"/>
    <w:rsid w:val="00A71D6B"/>
    <w:rsid w:val="00A72343"/>
    <w:rsid w:val="00A72D29"/>
    <w:rsid w:val="00A73195"/>
    <w:rsid w:val="00A734DA"/>
    <w:rsid w:val="00A73873"/>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E"/>
    <w:rsid w:val="00A80117"/>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A3A"/>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0DE"/>
    <w:rsid w:val="00AE723D"/>
    <w:rsid w:val="00AE7992"/>
    <w:rsid w:val="00AF02A2"/>
    <w:rsid w:val="00AF0397"/>
    <w:rsid w:val="00AF0801"/>
    <w:rsid w:val="00AF1414"/>
    <w:rsid w:val="00AF1ECF"/>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E29"/>
    <w:rsid w:val="00B1214B"/>
    <w:rsid w:val="00B12498"/>
    <w:rsid w:val="00B12837"/>
    <w:rsid w:val="00B12EDA"/>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1D9"/>
    <w:rsid w:val="00B31447"/>
    <w:rsid w:val="00B31D78"/>
    <w:rsid w:val="00B31E5F"/>
    <w:rsid w:val="00B32607"/>
    <w:rsid w:val="00B326BE"/>
    <w:rsid w:val="00B32821"/>
    <w:rsid w:val="00B32CE3"/>
    <w:rsid w:val="00B3331B"/>
    <w:rsid w:val="00B33595"/>
    <w:rsid w:val="00B3363A"/>
    <w:rsid w:val="00B33808"/>
    <w:rsid w:val="00B3396B"/>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2D4"/>
    <w:rsid w:val="00B433F1"/>
    <w:rsid w:val="00B437BD"/>
    <w:rsid w:val="00B43925"/>
    <w:rsid w:val="00B43985"/>
    <w:rsid w:val="00B439FA"/>
    <w:rsid w:val="00B43B0B"/>
    <w:rsid w:val="00B43C9F"/>
    <w:rsid w:val="00B43D4D"/>
    <w:rsid w:val="00B43EBF"/>
    <w:rsid w:val="00B440CF"/>
    <w:rsid w:val="00B443C5"/>
    <w:rsid w:val="00B4485B"/>
    <w:rsid w:val="00B4500C"/>
    <w:rsid w:val="00B45298"/>
    <w:rsid w:val="00B45385"/>
    <w:rsid w:val="00B458D3"/>
    <w:rsid w:val="00B45A61"/>
    <w:rsid w:val="00B45AAE"/>
    <w:rsid w:val="00B45C79"/>
    <w:rsid w:val="00B460A0"/>
    <w:rsid w:val="00B461C8"/>
    <w:rsid w:val="00B462D6"/>
    <w:rsid w:val="00B46BBB"/>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870"/>
    <w:rsid w:val="00B63C10"/>
    <w:rsid w:val="00B640AB"/>
    <w:rsid w:val="00B6425B"/>
    <w:rsid w:val="00B64398"/>
    <w:rsid w:val="00B64484"/>
    <w:rsid w:val="00B645EE"/>
    <w:rsid w:val="00B645F8"/>
    <w:rsid w:val="00B646A6"/>
    <w:rsid w:val="00B64995"/>
    <w:rsid w:val="00B64A5B"/>
    <w:rsid w:val="00B652B0"/>
    <w:rsid w:val="00B657B5"/>
    <w:rsid w:val="00B65D1C"/>
    <w:rsid w:val="00B664EC"/>
    <w:rsid w:val="00B66758"/>
    <w:rsid w:val="00B66801"/>
    <w:rsid w:val="00B66FF7"/>
    <w:rsid w:val="00B675E5"/>
    <w:rsid w:val="00B677F6"/>
    <w:rsid w:val="00B6796C"/>
    <w:rsid w:val="00B67B2B"/>
    <w:rsid w:val="00B67D7F"/>
    <w:rsid w:val="00B70333"/>
    <w:rsid w:val="00B703CE"/>
    <w:rsid w:val="00B70470"/>
    <w:rsid w:val="00B707D8"/>
    <w:rsid w:val="00B709C5"/>
    <w:rsid w:val="00B70A49"/>
    <w:rsid w:val="00B70EDB"/>
    <w:rsid w:val="00B713B7"/>
    <w:rsid w:val="00B713B9"/>
    <w:rsid w:val="00B71A24"/>
    <w:rsid w:val="00B71A5D"/>
    <w:rsid w:val="00B71CEF"/>
    <w:rsid w:val="00B72184"/>
    <w:rsid w:val="00B7273B"/>
    <w:rsid w:val="00B727B8"/>
    <w:rsid w:val="00B72871"/>
    <w:rsid w:val="00B73259"/>
    <w:rsid w:val="00B73453"/>
    <w:rsid w:val="00B737C7"/>
    <w:rsid w:val="00B741DB"/>
    <w:rsid w:val="00B7449F"/>
    <w:rsid w:val="00B74570"/>
    <w:rsid w:val="00B74572"/>
    <w:rsid w:val="00B74A0D"/>
    <w:rsid w:val="00B74D13"/>
    <w:rsid w:val="00B74EC0"/>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7B6"/>
    <w:rsid w:val="00B84920"/>
    <w:rsid w:val="00B84BE8"/>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61F"/>
    <w:rsid w:val="00B9063D"/>
    <w:rsid w:val="00B90C55"/>
    <w:rsid w:val="00B90D7E"/>
    <w:rsid w:val="00B90DC8"/>
    <w:rsid w:val="00B91356"/>
    <w:rsid w:val="00B917B0"/>
    <w:rsid w:val="00B917BD"/>
    <w:rsid w:val="00B91E0F"/>
    <w:rsid w:val="00B926E0"/>
    <w:rsid w:val="00B928B6"/>
    <w:rsid w:val="00B92A14"/>
    <w:rsid w:val="00B93042"/>
    <w:rsid w:val="00B93B55"/>
    <w:rsid w:val="00B93C36"/>
    <w:rsid w:val="00B94054"/>
    <w:rsid w:val="00B94253"/>
    <w:rsid w:val="00B9428A"/>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B0528"/>
    <w:rsid w:val="00BB070E"/>
    <w:rsid w:val="00BB0B3E"/>
    <w:rsid w:val="00BB0D75"/>
    <w:rsid w:val="00BB0FE6"/>
    <w:rsid w:val="00BB109F"/>
    <w:rsid w:val="00BB10BA"/>
    <w:rsid w:val="00BB1211"/>
    <w:rsid w:val="00BB1393"/>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F3F"/>
    <w:rsid w:val="00BB71EC"/>
    <w:rsid w:val="00BB723D"/>
    <w:rsid w:val="00BB724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FE5"/>
    <w:rsid w:val="00BD013E"/>
    <w:rsid w:val="00BD0238"/>
    <w:rsid w:val="00BD050C"/>
    <w:rsid w:val="00BD082C"/>
    <w:rsid w:val="00BD0FC4"/>
    <w:rsid w:val="00BD140B"/>
    <w:rsid w:val="00BD1624"/>
    <w:rsid w:val="00BD173D"/>
    <w:rsid w:val="00BD187A"/>
    <w:rsid w:val="00BD238C"/>
    <w:rsid w:val="00BD2A08"/>
    <w:rsid w:val="00BD2C9F"/>
    <w:rsid w:val="00BD2F55"/>
    <w:rsid w:val="00BD31F4"/>
    <w:rsid w:val="00BD3837"/>
    <w:rsid w:val="00BD386B"/>
    <w:rsid w:val="00BD3C69"/>
    <w:rsid w:val="00BD3D7A"/>
    <w:rsid w:val="00BD4235"/>
    <w:rsid w:val="00BD45AD"/>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A29"/>
    <w:rsid w:val="00BF21AD"/>
    <w:rsid w:val="00BF220D"/>
    <w:rsid w:val="00BF2372"/>
    <w:rsid w:val="00BF2817"/>
    <w:rsid w:val="00BF2901"/>
    <w:rsid w:val="00BF31CB"/>
    <w:rsid w:val="00BF34B3"/>
    <w:rsid w:val="00BF3BCB"/>
    <w:rsid w:val="00BF3C10"/>
    <w:rsid w:val="00BF3E35"/>
    <w:rsid w:val="00BF3FFA"/>
    <w:rsid w:val="00BF46F1"/>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63"/>
    <w:rsid w:val="00C05BC1"/>
    <w:rsid w:val="00C05C20"/>
    <w:rsid w:val="00C06066"/>
    <w:rsid w:val="00C0648A"/>
    <w:rsid w:val="00C06690"/>
    <w:rsid w:val="00C067A4"/>
    <w:rsid w:val="00C067FC"/>
    <w:rsid w:val="00C068C5"/>
    <w:rsid w:val="00C06BE9"/>
    <w:rsid w:val="00C0702B"/>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9CA"/>
    <w:rsid w:val="00C11C33"/>
    <w:rsid w:val="00C11C73"/>
    <w:rsid w:val="00C11FE5"/>
    <w:rsid w:val="00C11FF6"/>
    <w:rsid w:val="00C12369"/>
    <w:rsid w:val="00C1286D"/>
    <w:rsid w:val="00C12EB5"/>
    <w:rsid w:val="00C134A1"/>
    <w:rsid w:val="00C13504"/>
    <w:rsid w:val="00C13828"/>
    <w:rsid w:val="00C139B1"/>
    <w:rsid w:val="00C13C8A"/>
    <w:rsid w:val="00C13F22"/>
    <w:rsid w:val="00C13F33"/>
    <w:rsid w:val="00C140FE"/>
    <w:rsid w:val="00C14131"/>
    <w:rsid w:val="00C14742"/>
    <w:rsid w:val="00C149BE"/>
    <w:rsid w:val="00C14C0C"/>
    <w:rsid w:val="00C15135"/>
    <w:rsid w:val="00C157C6"/>
    <w:rsid w:val="00C159ED"/>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A5A"/>
    <w:rsid w:val="00C24CA2"/>
    <w:rsid w:val="00C24D4A"/>
    <w:rsid w:val="00C24EE5"/>
    <w:rsid w:val="00C24F74"/>
    <w:rsid w:val="00C250CF"/>
    <w:rsid w:val="00C2544D"/>
    <w:rsid w:val="00C254EB"/>
    <w:rsid w:val="00C255B6"/>
    <w:rsid w:val="00C25D3A"/>
    <w:rsid w:val="00C25FDB"/>
    <w:rsid w:val="00C262F2"/>
    <w:rsid w:val="00C263AE"/>
    <w:rsid w:val="00C26871"/>
    <w:rsid w:val="00C2695A"/>
    <w:rsid w:val="00C270CE"/>
    <w:rsid w:val="00C274BE"/>
    <w:rsid w:val="00C279E2"/>
    <w:rsid w:val="00C27E01"/>
    <w:rsid w:val="00C301D0"/>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2F35"/>
    <w:rsid w:val="00C439C5"/>
    <w:rsid w:val="00C439F0"/>
    <w:rsid w:val="00C43AC7"/>
    <w:rsid w:val="00C43CE7"/>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419F"/>
    <w:rsid w:val="00C64376"/>
    <w:rsid w:val="00C64626"/>
    <w:rsid w:val="00C64849"/>
    <w:rsid w:val="00C648E3"/>
    <w:rsid w:val="00C64EDC"/>
    <w:rsid w:val="00C656EC"/>
    <w:rsid w:val="00C65C31"/>
    <w:rsid w:val="00C65D24"/>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40FD"/>
    <w:rsid w:val="00C74157"/>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781D"/>
    <w:rsid w:val="00C87E17"/>
    <w:rsid w:val="00C87F65"/>
    <w:rsid w:val="00C90188"/>
    <w:rsid w:val="00C901A9"/>
    <w:rsid w:val="00C90532"/>
    <w:rsid w:val="00C905AC"/>
    <w:rsid w:val="00C90663"/>
    <w:rsid w:val="00C90B43"/>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C81"/>
    <w:rsid w:val="00C94C87"/>
    <w:rsid w:val="00C94E45"/>
    <w:rsid w:val="00C951E5"/>
    <w:rsid w:val="00C95300"/>
    <w:rsid w:val="00C95548"/>
    <w:rsid w:val="00C95730"/>
    <w:rsid w:val="00C95962"/>
    <w:rsid w:val="00C95CD4"/>
    <w:rsid w:val="00C96127"/>
    <w:rsid w:val="00C969F6"/>
    <w:rsid w:val="00C96FE0"/>
    <w:rsid w:val="00C973E2"/>
    <w:rsid w:val="00C97A54"/>
    <w:rsid w:val="00C97AF1"/>
    <w:rsid w:val="00C97E38"/>
    <w:rsid w:val="00CA0151"/>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2A"/>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FA5"/>
    <w:rsid w:val="00CB5086"/>
    <w:rsid w:val="00CB510D"/>
    <w:rsid w:val="00CB558B"/>
    <w:rsid w:val="00CB5760"/>
    <w:rsid w:val="00CB58DD"/>
    <w:rsid w:val="00CB590E"/>
    <w:rsid w:val="00CB5A9F"/>
    <w:rsid w:val="00CB5B19"/>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960"/>
    <w:rsid w:val="00CC1A18"/>
    <w:rsid w:val="00CC1C42"/>
    <w:rsid w:val="00CC1E3E"/>
    <w:rsid w:val="00CC1E40"/>
    <w:rsid w:val="00CC2559"/>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67"/>
    <w:rsid w:val="00CC5BD2"/>
    <w:rsid w:val="00CC5E0D"/>
    <w:rsid w:val="00CC606C"/>
    <w:rsid w:val="00CC6B0F"/>
    <w:rsid w:val="00CC6C02"/>
    <w:rsid w:val="00CC6C99"/>
    <w:rsid w:val="00CC6D7A"/>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B3E"/>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28D"/>
    <w:rsid w:val="00CD6814"/>
    <w:rsid w:val="00CD6E0B"/>
    <w:rsid w:val="00CD7597"/>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654"/>
    <w:rsid w:val="00CF3F01"/>
    <w:rsid w:val="00CF44C0"/>
    <w:rsid w:val="00CF46E1"/>
    <w:rsid w:val="00CF50A9"/>
    <w:rsid w:val="00CF5678"/>
    <w:rsid w:val="00CF5D87"/>
    <w:rsid w:val="00CF6121"/>
    <w:rsid w:val="00CF61A3"/>
    <w:rsid w:val="00CF623B"/>
    <w:rsid w:val="00CF66DE"/>
    <w:rsid w:val="00CF6848"/>
    <w:rsid w:val="00CF6AF3"/>
    <w:rsid w:val="00CF6C9A"/>
    <w:rsid w:val="00CF6F64"/>
    <w:rsid w:val="00CF755E"/>
    <w:rsid w:val="00CF7CCF"/>
    <w:rsid w:val="00CF7E7D"/>
    <w:rsid w:val="00D00522"/>
    <w:rsid w:val="00D00B22"/>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D66"/>
    <w:rsid w:val="00D07DCA"/>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5260"/>
    <w:rsid w:val="00D15CFC"/>
    <w:rsid w:val="00D15D9D"/>
    <w:rsid w:val="00D15F30"/>
    <w:rsid w:val="00D1624D"/>
    <w:rsid w:val="00D16BA8"/>
    <w:rsid w:val="00D16DEE"/>
    <w:rsid w:val="00D17391"/>
    <w:rsid w:val="00D174E5"/>
    <w:rsid w:val="00D1770D"/>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C2D"/>
    <w:rsid w:val="00D404CE"/>
    <w:rsid w:val="00D40BE3"/>
    <w:rsid w:val="00D40E25"/>
    <w:rsid w:val="00D40E78"/>
    <w:rsid w:val="00D41009"/>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40D2"/>
    <w:rsid w:val="00D4429F"/>
    <w:rsid w:val="00D44336"/>
    <w:rsid w:val="00D444C3"/>
    <w:rsid w:val="00D445A8"/>
    <w:rsid w:val="00D448BD"/>
    <w:rsid w:val="00D44A5C"/>
    <w:rsid w:val="00D453F7"/>
    <w:rsid w:val="00D45581"/>
    <w:rsid w:val="00D458AB"/>
    <w:rsid w:val="00D45C69"/>
    <w:rsid w:val="00D45D57"/>
    <w:rsid w:val="00D464C9"/>
    <w:rsid w:val="00D466E5"/>
    <w:rsid w:val="00D467C7"/>
    <w:rsid w:val="00D4688E"/>
    <w:rsid w:val="00D46F2D"/>
    <w:rsid w:val="00D471EF"/>
    <w:rsid w:val="00D4720F"/>
    <w:rsid w:val="00D475CC"/>
    <w:rsid w:val="00D477E2"/>
    <w:rsid w:val="00D47E55"/>
    <w:rsid w:val="00D50024"/>
    <w:rsid w:val="00D50205"/>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30BC"/>
    <w:rsid w:val="00D5346C"/>
    <w:rsid w:val="00D53658"/>
    <w:rsid w:val="00D53768"/>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71E9"/>
    <w:rsid w:val="00D7010A"/>
    <w:rsid w:val="00D7040B"/>
    <w:rsid w:val="00D70F5E"/>
    <w:rsid w:val="00D70F87"/>
    <w:rsid w:val="00D7123A"/>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FF2"/>
    <w:rsid w:val="00D800A1"/>
    <w:rsid w:val="00D8036A"/>
    <w:rsid w:val="00D8042B"/>
    <w:rsid w:val="00D805F2"/>
    <w:rsid w:val="00D8070B"/>
    <w:rsid w:val="00D80957"/>
    <w:rsid w:val="00D80AB8"/>
    <w:rsid w:val="00D80C93"/>
    <w:rsid w:val="00D80CCB"/>
    <w:rsid w:val="00D81307"/>
    <w:rsid w:val="00D81388"/>
    <w:rsid w:val="00D817FD"/>
    <w:rsid w:val="00D81C74"/>
    <w:rsid w:val="00D81E21"/>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A59"/>
    <w:rsid w:val="00DA6C67"/>
    <w:rsid w:val="00DA714A"/>
    <w:rsid w:val="00DA71AF"/>
    <w:rsid w:val="00DA727D"/>
    <w:rsid w:val="00DA7A85"/>
    <w:rsid w:val="00DA7BC7"/>
    <w:rsid w:val="00DA7E4C"/>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427"/>
    <w:rsid w:val="00DB749A"/>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A32"/>
    <w:rsid w:val="00DD623F"/>
    <w:rsid w:val="00DD6396"/>
    <w:rsid w:val="00DD654D"/>
    <w:rsid w:val="00DD6C70"/>
    <w:rsid w:val="00DD6CED"/>
    <w:rsid w:val="00DD6DA2"/>
    <w:rsid w:val="00DD7341"/>
    <w:rsid w:val="00DD761C"/>
    <w:rsid w:val="00DD7DF3"/>
    <w:rsid w:val="00DE0171"/>
    <w:rsid w:val="00DE0333"/>
    <w:rsid w:val="00DE044F"/>
    <w:rsid w:val="00DE0558"/>
    <w:rsid w:val="00DE0831"/>
    <w:rsid w:val="00DE183E"/>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D03"/>
    <w:rsid w:val="00DE7E42"/>
    <w:rsid w:val="00DE7F96"/>
    <w:rsid w:val="00DF02EC"/>
    <w:rsid w:val="00DF0D33"/>
    <w:rsid w:val="00DF0E63"/>
    <w:rsid w:val="00DF0FE6"/>
    <w:rsid w:val="00DF1300"/>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6014"/>
    <w:rsid w:val="00DF6462"/>
    <w:rsid w:val="00DF6824"/>
    <w:rsid w:val="00DF6B5E"/>
    <w:rsid w:val="00DF6C68"/>
    <w:rsid w:val="00DF7226"/>
    <w:rsid w:val="00DF777C"/>
    <w:rsid w:val="00E000AA"/>
    <w:rsid w:val="00E004D1"/>
    <w:rsid w:val="00E00633"/>
    <w:rsid w:val="00E00A07"/>
    <w:rsid w:val="00E00EFF"/>
    <w:rsid w:val="00E00F6F"/>
    <w:rsid w:val="00E0138A"/>
    <w:rsid w:val="00E013CA"/>
    <w:rsid w:val="00E015AA"/>
    <w:rsid w:val="00E019EA"/>
    <w:rsid w:val="00E028E6"/>
    <w:rsid w:val="00E02C20"/>
    <w:rsid w:val="00E02E14"/>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D58"/>
    <w:rsid w:val="00E11E3A"/>
    <w:rsid w:val="00E11EB8"/>
    <w:rsid w:val="00E12469"/>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722"/>
    <w:rsid w:val="00E15A4C"/>
    <w:rsid w:val="00E1626E"/>
    <w:rsid w:val="00E1645D"/>
    <w:rsid w:val="00E164E8"/>
    <w:rsid w:val="00E1654E"/>
    <w:rsid w:val="00E167D4"/>
    <w:rsid w:val="00E16B25"/>
    <w:rsid w:val="00E16B53"/>
    <w:rsid w:val="00E16E7C"/>
    <w:rsid w:val="00E1737B"/>
    <w:rsid w:val="00E175FF"/>
    <w:rsid w:val="00E179B8"/>
    <w:rsid w:val="00E17A78"/>
    <w:rsid w:val="00E17C3F"/>
    <w:rsid w:val="00E17CFB"/>
    <w:rsid w:val="00E202F9"/>
    <w:rsid w:val="00E204F7"/>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18C"/>
    <w:rsid w:val="00E40362"/>
    <w:rsid w:val="00E4054A"/>
    <w:rsid w:val="00E40DAE"/>
    <w:rsid w:val="00E41574"/>
    <w:rsid w:val="00E41A3E"/>
    <w:rsid w:val="00E41AB9"/>
    <w:rsid w:val="00E41D2F"/>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7551"/>
    <w:rsid w:val="00E676A6"/>
    <w:rsid w:val="00E67829"/>
    <w:rsid w:val="00E6784E"/>
    <w:rsid w:val="00E67953"/>
    <w:rsid w:val="00E67968"/>
    <w:rsid w:val="00E67D67"/>
    <w:rsid w:val="00E67E2F"/>
    <w:rsid w:val="00E701EB"/>
    <w:rsid w:val="00E705E5"/>
    <w:rsid w:val="00E705E8"/>
    <w:rsid w:val="00E70B0C"/>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527"/>
    <w:rsid w:val="00E82608"/>
    <w:rsid w:val="00E826C8"/>
    <w:rsid w:val="00E828DA"/>
    <w:rsid w:val="00E8290C"/>
    <w:rsid w:val="00E83280"/>
    <w:rsid w:val="00E832C9"/>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1705"/>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6FE"/>
    <w:rsid w:val="00EB4A13"/>
    <w:rsid w:val="00EB534C"/>
    <w:rsid w:val="00EB53A5"/>
    <w:rsid w:val="00EB55D2"/>
    <w:rsid w:val="00EB57E7"/>
    <w:rsid w:val="00EB593E"/>
    <w:rsid w:val="00EB5A62"/>
    <w:rsid w:val="00EB5CC3"/>
    <w:rsid w:val="00EB6440"/>
    <w:rsid w:val="00EB6698"/>
    <w:rsid w:val="00EB6763"/>
    <w:rsid w:val="00EB6C27"/>
    <w:rsid w:val="00EB6C53"/>
    <w:rsid w:val="00EB7502"/>
    <w:rsid w:val="00EB7832"/>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F1A"/>
    <w:rsid w:val="00EC5FD9"/>
    <w:rsid w:val="00EC6337"/>
    <w:rsid w:val="00EC66D7"/>
    <w:rsid w:val="00EC6D68"/>
    <w:rsid w:val="00EC7183"/>
    <w:rsid w:val="00EC71AB"/>
    <w:rsid w:val="00EC7BC5"/>
    <w:rsid w:val="00ED022F"/>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51"/>
    <w:rsid w:val="00F04B22"/>
    <w:rsid w:val="00F04D51"/>
    <w:rsid w:val="00F04F3E"/>
    <w:rsid w:val="00F0522E"/>
    <w:rsid w:val="00F05D2D"/>
    <w:rsid w:val="00F05EED"/>
    <w:rsid w:val="00F0632C"/>
    <w:rsid w:val="00F06D91"/>
    <w:rsid w:val="00F06F02"/>
    <w:rsid w:val="00F07337"/>
    <w:rsid w:val="00F07E47"/>
    <w:rsid w:val="00F10437"/>
    <w:rsid w:val="00F10465"/>
    <w:rsid w:val="00F10864"/>
    <w:rsid w:val="00F108F5"/>
    <w:rsid w:val="00F10A87"/>
    <w:rsid w:val="00F11003"/>
    <w:rsid w:val="00F1114C"/>
    <w:rsid w:val="00F1146B"/>
    <w:rsid w:val="00F115E0"/>
    <w:rsid w:val="00F1165E"/>
    <w:rsid w:val="00F11CF5"/>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37D77"/>
    <w:rsid w:val="00F4018C"/>
    <w:rsid w:val="00F4125D"/>
    <w:rsid w:val="00F42910"/>
    <w:rsid w:val="00F42C2B"/>
    <w:rsid w:val="00F439C5"/>
    <w:rsid w:val="00F44833"/>
    <w:rsid w:val="00F44E08"/>
    <w:rsid w:val="00F46074"/>
    <w:rsid w:val="00F465C1"/>
    <w:rsid w:val="00F4678D"/>
    <w:rsid w:val="00F467B0"/>
    <w:rsid w:val="00F46E40"/>
    <w:rsid w:val="00F46F8B"/>
    <w:rsid w:val="00F47132"/>
    <w:rsid w:val="00F47245"/>
    <w:rsid w:val="00F47728"/>
    <w:rsid w:val="00F47AFE"/>
    <w:rsid w:val="00F47CBA"/>
    <w:rsid w:val="00F50020"/>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56A5"/>
    <w:rsid w:val="00F75D1A"/>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9A2"/>
    <w:rsid w:val="00FA4EDE"/>
    <w:rsid w:val="00FA50E8"/>
    <w:rsid w:val="00FA526F"/>
    <w:rsid w:val="00FA53C1"/>
    <w:rsid w:val="00FA5527"/>
    <w:rsid w:val="00FA5871"/>
    <w:rsid w:val="00FA589E"/>
    <w:rsid w:val="00FA5962"/>
    <w:rsid w:val="00FA5995"/>
    <w:rsid w:val="00FA5CEE"/>
    <w:rsid w:val="00FA5E21"/>
    <w:rsid w:val="00FA5EB9"/>
    <w:rsid w:val="00FA6225"/>
    <w:rsid w:val="00FA656D"/>
    <w:rsid w:val="00FA6686"/>
    <w:rsid w:val="00FA6748"/>
    <w:rsid w:val="00FA6A4B"/>
    <w:rsid w:val="00FA6A8C"/>
    <w:rsid w:val="00FA6B41"/>
    <w:rsid w:val="00FA6BE1"/>
    <w:rsid w:val="00FA6D2E"/>
    <w:rsid w:val="00FA70DF"/>
    <w:rsid w:val="00FA7152"/>
    <w:rsid w:val="00FA7A20"/>
    <w:rsid w:val="00FA7AA6"/>
    <w:rsid w:val="00FA7B91"/>
    <w:rsid w:val="00FA7C04"/>
    <w:rsid w:val="00FB009F"/>
    <w:rsid w:val="00FB0443"/>
    <w:rsid w:val="00FB11DB"/>
    <w:rsid w:val="00FB1434"/>
    <w:rsid w:val="00FB1559"/>
    <w:rsid w:val="00FB15D5"/>
    <w:rsid w:val="00FB1694"/>
    <w:rsid w:val="00FB18E8"/>
    <w:rsid w:val="00FB19D8"/>
    <w:rsid w:val="00FB22E5"/>
    <w:rsid w:val="00FB2300"/>
    <w:rsid w:val="00FB2803"/>
    <w:rsid w:val="00FB2864"/>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401"/>
    <w:rsid w:val="00FB67DD"/>
    <w:rsid w:val="00FB68CE"/>
    <w:rsid w:val="00FB6B9D"/>
    <w:rsid w:val="00FB6C5F"/>
    <w:rsid w:val="00FB6C8C"/>
    <w:rsid w:val="00FB72CB"/>
    <w:rsid w:val="00FB77BB"/>
    <w:rsid w:val="00FB7A9C"/>
    <w:rsid w:val="00FB7B41"/>
    <w:rsid w:val="00FC0080"/>
    <w:rsid w:val="00FC0169"/>
    <w:rsid w:val="00FC03AD"/>
    <w:rsid w:val="00FC0AB4"/>
    <w:rsid w:val="00FC0B9B"/>
    <w:rsid w:val="00FC0E12"/>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7D1"/>
    <w:rsid w:val="00FC4CA4"/>
    <w:rsid w:val="00FC4DD6"/>
    <w:rsid w:val="00FC4F95"/>
    <w:rsid w:val="00FC545C"/>
    <w:rsid w:val="00FC553E"/>
    <w:rsid w:val="00FC5DDB"/>
    <w:rsid w:val="00FC65A0"/>
    <w:rsid w:val="00FC6B41"/>
    <w:rsid w:val="00FC6EF1"/>
    <w:rsid w:val="00FC7308"/>
    <w:rsid w:val="00FC735B"/>
    <w:rsid w:val="00FC7503"/>
    <w:rsid w:val="00FC7DD2"/>
    <w:rsid w:val="00FC7F93"/>
    <w:rsid w:val="00FD0121"/>
    <w:rsid w:val="00FD0C32"/>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52B"/>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25"/>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hart" Target="charts/chart2.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chart" Target="charts/chart1.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Desktop\Update%20of%20contribution\Overhead_Updat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Desktop\Update%20of%20contribution\Overhead_Updat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Desktop\Contribution%20preparation\Overhead%20for%20rank%204.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Average packet throughput</a:t>
            </a:r>
            <a:endParaRPr lang="ru-RU" sz="14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Type I, L = 1</c:v>
          </c:tx>
          <c:spPr>
            <a:ln w="25400" cap="rnd">
              <a:noFill/>
              <a:round/>
            </a:ln>
            <a:effectLst/>
          </c:spPr>
          <c:marker>
            <c:symbol val="circle"/>
            <c:size val="5"/>
            <c:spPr>
              <a:solidFill>
                <a:schemeClr val="accent1"/>
              </a:solidFill>
              <a:ln w="9525">
                <a:solidFill>
                  <a:schemeClr val="accent1"/>
                </a:solidFill>
              </a:ln>
              <a:effectLst/>
            </c:spPr>
          </c:marker>
          <c:xVal>
            <c:numRef>
              <c:f>plots_case_2!$C$3</c:f>
              <c:numCache>
                <c:formatCode>General</c:formatCode>
                <c:ptCount val="1"/>
                <c:pt idx="0">
                  <c:v>26</c:v>
                </c:pt>
              </c:numCache>
            </c:numRef>
          </c:xVal>
          <c:yVal>
            <c:numRef>
              <c:f>plots_case_2!$D$3</c:f>
              <c:numCache>
                <c:formatCode>0</c:formatCode>
                <c:ptCount val="1"/>
                <c:pt idx="0">
                  <c:v>0</c:v>
                </c:pt>
              </c:numCache>
            </c:numRef>
          </c:yVal>
          <c:smooth val="0"/>
        </c:ser>
        <c:ser>
          <c:idx val="1"/>
          <c:order val="1"/>
          <c:tx>
            <c:v>Type II, L = 2</c:v>
          </c:tx>
          <c:spPr>
            <a:ln w="25400" cap="rnd">
              <a:noFill/>
              <a:round/>
            </a:ln>
            <a:effectLst/>
          </c:spPr>
          <c:marker>
            <c:symbol val="circle"/>
            <c:size val="5"/>
            <c:spPr>
              <a:solidFill>
                <a:schemeClr val="accent2"/>
              </a:solidFill>
              <a:ln w="9525">
                <a:solidFill>
                  <a:schemeClr val="accent2"/>
                </a:solidFill>
              </a:ln>
              <a:effectLst/>
            </c:spPr>
          </c:marker>
          <c:xVal>
            <c:numRef>
              <c:f>plots_case_2!$C$4:$C$6</c:f>
              <c:numCache>
                <c:formatCode>General</c:formatCode>
                <c:ptCount val="3"/>
                <c:pt idx="0">
                  <c:v>174</c:v>
                </c:pt>
                <c:pt idx="1">
                  <c:v>252</c:v>
                </c:pt>
                <c:pt idx="2">
                  <c:v>330</c:v>
                </c:pt>
              </c:numCache>
            </c:numRef>
          </c:xVal>
          <c:yVal>
            <c:numRef>
              <c:f>plots_case_2!$D$4:$D$6</c:f>
              <c:numCache>
                <c:formatCode>0</c:formatCode>
                <c:ptCount val="3"/>
                <c:pt idx="0">
                  <c:v>9.394281512037983</c:v>
                </c:pt>
                <c:pt idx="1">
                  <c:v>13.151395543467892</c:v>
                </c:pt>
                <c:pt idx="2">
                  <c:v>16.068680712419425</c:v>
                </c:pt>
              </c:numCache>
            </c:numRef>
          </c:yVal>
          <c:smooth val="0"/>
        </c:ser>
        <c:ser>
          <c:idx val="2"/>
          <c:order val="2"/>
          <c:tx>
            <c:v>Type II, L = 4</c:v>
          </c:tx>
          <c:spPr>
            <a:ln w="25400" cap="rnd">
              <a:noFill/>
              <a:round/>
            </a:ln>
            <a:effectLst/>
          </c:spPr>
          <c:marker>
            <c:symbol val="circle"/>
            <c:size val="5"/>
            <c:spPr>
              <a:solidFill>
                <a:schemeClr val="accent3"/>
              </a:solidFill>
              <a:ln w="9525">
                <a:solidFill>
                  <a:schemeClr val="accent3"/>
                </a:solidFill>
              </a:ln>
              <a:effectLst/>
            </c:spPr>
          </c:marker>
          <c:xVal>
            <c:numRef>
              <c:f>plots_case_2!$C$7:$C$9</c:f>
              <c:numCache>
                <c:formatCode>General</c:formatCode>
                <c:ptCount val="3"/>
                <c:pt idx="0">
                  <c:v>406</c:v>
                </c:pt>
                <c:pt idx="1">
                  <c:v>588</c:v>
                </c:pt>
                <c:pt idx="2">
                  <c:v>666</c:v>
                </c:pt>
              </c:numCache>
            </c:numRef>
          </c:xVal>
          <c:yVal>
            <c:numRef>
              <c:f>plots_case_2!$D$7:$D$9</c:f>
              <c:numCache>
                <c:formatCode>0</c:formatCode>
                <c:ptCount val="3"/>
                <c:pt idx="0">
                  <c:v>13.308051920018027</c:v>
                </c:pt>
                <c:pt idx="1">
                  <c:v>18.445089522107061</c:v>
                </c:pt>
                <c:pt idx="2">
                  <c:v>23.545146042035768</c:v>
                </c:pt>
              </c:numCache>
            </c:numRef>
          </c:yVal>
          <c:smooth val="0"/>
        </c:ser>
        <c:ser>
          <c:idx val="3"/>
          <c:order val="3"/>
          <c:tx>
            <c:v>Type II compression, L = 2</c:v>
          </c:tx>
          <c:spPr>
            <a:ln w="25400" cap="rnd">
              <a:noFill/>
              <a:round/>
            </a:ln>
            <a:effectLst/>
          </c:spPr>
          <c:marker>
            <c:symbol val="circle"/>
            <c:size val="5"/>
            <c:spPr>
              <a:solidFill>
                <a:schemeClr val="accent4"/>
              </a:solidFill>
              <a:ln w="9525">
                <a:solidFill>
                  <a:schemeClr val="accent4"/>
                </a:solidFill>
              </a:ln>
              <a:effectLst/>
            </c:spPr>
          </c:marker>
          <c:xVal>
            <c:numRef>
              <c:f>plots_case_2!$C$10:$C$16</c:f>
              <c:numCache>
                <c:formatCode>General</c:formatCode>
                <c:ptCount val="7"/>
                <c:pt idx="0">
                  <c:v>44</c:v>
                </c:pt>
                <c:pt idx="1">
                  <c:v>86</c:v>
                </c:pt>
                <c:pt idx="2">
                  <c:v>158</c:v>
                </c:pt>
                <c:pt idx="3">
                  <c:v>226</c:v>
                </c:pt>
                <c:pt idx="4">
                  <c:v>286</c:v>
                </c:pt>
                <c:pt idx="5">
                  <c:v>348</c:v>
                </c:pt>
                <c:pt idx="6">
                  <c:v>398</c:v>
                </c:pt>
              </c:numCache>
            </c:numRef>
          </c:xVal>
          <c:yVal>
            <c:numRef>
              <c:f>plots_case_2!$D$10:$D$16</c:f>
              <c:numCache>
                <c:formatCode>0</c:formatCode>
                <c:ptCount val="7"/>
                <c:pt idx="0">
                  <c:v>4.3914992946983089</c:v>
                </c:pt>
                <c:pt idx="1">
                  <c:v>7.6916323148001897</c:v>
                </c:pt>
                <c:pt idx="2">
                  <c:v>11.616177529236516</c:v>
                </c:pt>
                <c:pt idx="3">
                  <c:v>13.729771392961387</c:v>
                </c:pt>
                <c:pt idx="4">
                  <c:v>15.09053956102302</c:v>
                </c:pt>
                <c:pt idx="5">
                  <c:v>15.840839137535934</c:v>
                </c:pt>
                <c:pt idx="6">
                  <c:v>15.453217625182191</c:v>
                </c:pt>
              </c:numCache>
            </c:numRef>
          </c:yVal>
          <c:smooth val="0"/>
        </c:ser>
        <c:ser>
          <c:idx val="4"/>
          <c:order val="4"/>
          <c:tx>
            <c:v>Type II compression, L = 4</c:v>
          </c:tx>
          <c:spPr>
            <a:ln w="25400" cap="rnd">
              <a:noFill/>
              <a:round/>
            </a:ln>
            <a:effectLst/>
          </c:spPr>
          <c:marker>
            <c:symbol val="circle"/>
            <c:size val="5"/>
            <c:spPr>
              <a:solidFill>
                <a:schemeClr val="accent5"/>
              </a:solidFill>
              <a:ln w="9525">
                <a:solidFill>
                  <a:schemeClr val="accent5"/>
                </a:solidFill>
              </a:ln>
              <a:effectLst/>
            </c:spPr>
          </c:marker>
          <c:xVal>
            <c:numRef>
              <c:f>plots_case_2!$C$17:$C$23</c:f>
              <c:numCache>
                <c:formatCode>General</c:formatCode>
                <c:ptCount val="7"/>
                <c:pt idx="0">
                  <c:v>92</c:v>
                </c:pt>
                <c:pt idx="1">
                  <c:v>182</c:v>
                </c:pt>
                <c:pt idx="2">
                  <c:v>342</c:v>
                </c:pt>
                <c:pt idx="3">
                  <c:v>498</c:v>
                </c:pt>
                <c:pt idx="4">
                  <c:v>638</c:v>
                </c:pt>
                <c:pt idx="5">
                  <c:v>788</c:v>
                </c:pt>
                <c:pt idx="6">
                  <c:v>918</c:v>
                </c:pt>
              </c:numCache>
            </c:numRef>
          </c:xVal>
          <c:yVal>
            <c:numRef>
              <c:f>plots_case_2!$D$17:$D$23</c:f>
              <c:numCache>
                <c:formatCode>0</c:formatCode>
                <c:ptCount val="7"/>
                <c:pt idx="0">
                  <c:v>8.5779371352749045</c:v>
                </c:pt>
                <c:pt idx="1">
                  <c:v>14.349106149092993</c:v>
                </c:pt>
                <c:pt idx="2">
                  <c:v>20.804227929361517</c:v>
                </c:pt>
                <c:pt idx="3">
                  <c:v>24.054767443242465</c:v>
                </c:pt>
                <c:pt idx="4">
                  <c:v>26.346579556110772</c:v>
                </c:pt>
                <c:pt idx="5">
                  <c:v>26.127777361929795</c:v>
                </c:pt>
                <c:pt idx="6">
                  <c:v>27.240606300506087</c:v>
                </c:pt>
              </c:numCache>
            </c:numRef>
          </c:yVal>
          <c:smooth val="0"/>
        </c:ser>
        <c:dLbls>
          <c:showLegendKey val="0"/>
          <c:showVal val="0"/>
          <c:showCatName val="0"/>
          <c:showSerName val="0"/>
          <c:showPercent val="0"/>
          <c:showBubbleSize val="0"/>
        </c:dLbls>
        <c:axId val="492317792"/>
        <c:axId val="492318184"/>
      </c:scatterChart>
      <c:valAx>
        <c:axId val="4923177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18184"/>
        <c:crosses val="autoZero"/>
        <c:crossBetween val="midCat"/>
      </c:valAx>
      <c:valAx>
        <c:axId val="492318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baseline="0">
                    <a:effectLst/>
                  </a:rPr>
                  <a:t>Throughput gain (%)</a:t>
                </a:r>
                <a:endParaRPr lang="ru-RU"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177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baseline="0">
                <a:effectLst/>
              </a:rPr>
              <a:t>Cell-edge packet throughput</a:t>
            </a:r>
            <a:endParaRPr lang="ru-RU" sz="1100">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Type I, L = 1</c:v>
          </c:tx>
          <c:spPr>
            <a:ln w="25400" cap="rnd">
              <a:noFill/>
              <a:round/>
            </a:ln>
            <a:effectLst/>
          </c:spPr>
          <c:marker>
            <c:symbol val="circle"/>
            <c:size val="5"/>
            <c:spPr>
              <a:solidFill>
                <a:schemeClr val="accent1"/>
              </a:solidFill>
              <a:ln w="9525">
                <a:solidFill>
                  <a:schemeClr val="accent1"/>
                </a:solidFill>
              </a:ln>
              <a:effectLst/>
            </c:spPr>
          </c:marker>
          <c:xVal>
            <c:numRef>
              <c:f>plots_case_2!$C$3</c:f>
              <c:numCache>
                <c:formatCode>General</c:formatCode>
                <c:ptCount val="1"/>
                <c:pt idx="0">
                  <c:v>26</c:v>
                </c:pt>
              </c:numCache>
            </c:numRef>
          </c:xVal>
          <c:yVal>
            <c:numRef>
              <c:f>plots_case_2!$E$3</c:f>
              <c:numCache>
                <c:formatCode>0</c:formatCode>
                <c:ptCount val="1"/>
                <c:pt idx="0">
                  <c:v>0</c:v>
                </c:pt>
              </c:numCache>
            </c:numRef>
          </c:yVal>
          <c:smooth val="0"/>
        </c:ser>
        <c:ser>
          <c:idx val="1"/>
          <c:order val="1"/>
          <c:tx>
            <c:v>Type II, L = 2</c:v>
          </c:tx>
          <c:spPr>
            <a:ln w="25400" cap="rnd">
              <a:noFill/>
              <a:round/>
            </a:ln>
            <a:effectLst/>
          </c:spPr>
          <c:marker>
            <c:symbol val="circle"/>
            <c:size val="5"/>
            <c:spPr>
              <a:solidFill>
                <a:schemeClr val="accent2"/>
              </a:solidFill>
              <a:ln w="9525">
                <a:solidFill>
                  <a:schemeClr val="accent2"/>
                </a:solidFill>
              </a:ln>
              <a:effectLst/>
            </c:spPr>
          </c:marker>
          <c:xVal>
            <c:numRef>
              <c:f>plots_case_2!$C$4:$C$6</c:f>
              <c:numCache>
                <c:formatCode>General</c:formatCode>
                <c:ptCount val="3"/>
                <c:pt idx="0">
                  <c:v>174</c:v>
                </c:pt>
                <c:pt idx="1">
                  <c:v>252</c:v>
                </c:pt>
                <c:pt idx="2">
                  <c:v>330</c:v>
                </c:pt>
              </c:numCache>
            </c:numRef>
          </c:xVal>
          <c:yVal>
            <c:numRef>
              <c:f>plots_case_2!$E$4:$E$6</c:f>
              <c:numCache>
                <c:formatCode>0</c:formatCode>
                <c:ptCount val="3"/>
                <c:pt idx="0">
                  <c:v>15.401607698995434</c:v>
                </c:pt>
                <c:pt idx="1">
                  <c:v>20.008183822340332</c:v>
                </c:pt>
                <c:pt idx="2">
                  <c:v>25.47597257876626</c:v>
                </c:pt>
              </c:numCache>
            </c:numRef>
          </c:yVal>
          <c:smooth val="0"/>
        </c:ser>
        <c:ser>
          <c:idx val="2"/>
          <c:order val="2"/>
          <c:tx>
            <c:v>Type II, L = 4</c:v>
          </c:tx>
          <c:spPr>
            <a:ln w="25400" cap="rnd">
              <a:noFill/>
              <a:round/>
            </a:ln>
            <a:effectLst/>
          </c:spPr>
          <c:marker>
            <c:symbol val="circle"/>
            <c:size val="5"/>
            <c:spPr>
              <a:solidFill>
                <a:schemeClr val="accent3"/>
              </a:solidFill>
              <a:ln w="9525">
                <a:solidFill>
                  <a:schemeClr val="accent3"/>
                </a:solidFill>
              </a:ln>
              <a:effectLst/>
            </c:spPr>
          </c:marker>
          <c:xVal>
            <c:numRef>
              <c:f>plots_case_2!$C$7:$C$9</c:f>
              <c:numCache>
                <c:formatCode>General</c:formatCode>
                <c:ptCount val="3"/>
                <c:pt idx="0">
                  <c:v>406</c:v>
                </c:pt>
                <c:pt idx="1">
                  <c:v>588</c:v>
                </c:pt>
                <c:pt idx="2">
                  <c:v>666</c:v>
                </c:pt>
              </c:numCache>
            </c:numRef>
          </c:xVal>
          <c:yVal>
            <c:numRef>
              <c:f>plots_case_2!$E$7:$E$9</c:f>
              <c:numCache>
                <c:formatCode>0</c:formatCode>
                <c:ptCount val="3"/>
                <c:pt idx="0">
                  <c:v>20.795803794639522</c:v>
                </c:pt>
                <c:pt idx="1">
                  <c:v>27.66055324166361</c:v>
                </c:pt>
                <c:pt idx="2">
                  <c:v>38.501866888229742</c:v>
                </c:pt>
              </c:numCache>
            </c:numRef>
          </c:yVal>
          <c:smooth val="0"/>
        </c:ser>
        <c:ser>
          <c:idx val="3"/>
          <c:order val="3"/>
          <c:tx>
            <c:v>Type II compression, L = 2</c:v>
          </c:tx>
          <c:spPr>
            <a:ln w="25400" cap="rnd">
              <a:noFill/>
              <a:round/>
            </a:ln>
            <a:effectLst/>
          </c:spPr>
          <c:marker>
            <c:symbol val="circle"/>
            <c:size val="5"/>
            <c:spPr>
              <a:solidFill>
                <a:schemeClr val="accent4"/>
              </a:solidFill>
              <a:ln w="9525">
                <a:solidFill>
                  <a:schemeClr val="accent4"/>
                </a:solidFill>
              </a:ln>
              <a:effectLst/>
            </c:spPr>
          </c:marker>
          <c:xVal>
            <c:numRef>
              <c:f>plots_case_2!$C$10:$C$16</c:f>
              <c:numCache>
                <c:formatCode>General</c:formatCode>
                <c:ptCount val="7"/>
                <c:pt idx="0">
                  <c:v>44</c:v>
                </c:pt>
                <c:pt idx="1">
                  <c:v>86</c:v>
                </c:pt>
                <c:pt idx="2">
                  <c:v>158</c:v>
                </c:pt>
                <c:pt idx="3">
                  <c:v>226</c:v>
                </c:pt>
                <c:pt idx="4">
                  <c:v>286</c:v>
                </c:pt>
                <c:pt idx="5">
                  <c:v>348</c:v>
                </c:pt>
                <c:pt idx="6">
                  <c:v>398</c:v>
                </c:pt>
              </c:numCache>
            </c:numRef>
          </c:xVal>
          <c:yVal>
            <c:numRef>
              <c:f>plots_case_2!$E$10:$E$16</c:f>
              <c:numCache>
                <c:formatCode>0</c:formatCode>
                <c:ptCount val="7"/>
                <c:pt idx="0">
                  <c:v>5.8394656710301307</c:v>
                </c:pt>
                <c:pt idx="1">
                  <c:v>6.1535756928186469</c:v>
                </c:pt>
                <c:pt idx="2">
                  <c:v>12.161739648005977</c:v>
                </c:pt>
                <c:pt idx="3">
                  <c:v>15.030590551754885</c:v>
                </c:pt>
                <c:pt idx="4">
                  <c:v>22.047735210828677</c:v>
                </c:pt>
                <c:pt idx="5">
                  <c:v>22.072680918084764</c:v>
                </c:pt>
                <c:pt idx="6">
                  <c:v>18.009847127432764</c:v>
                </c:pt>
              </c:numCache>
            </c:numRef>
          </c:yVal>
          <c:smooth val="0"/>
        </c:ser>
        <c:ser>
          <c:idx val="4"/>
          <c:order val="4"/>
          <c:tx>
            <c:v>Type II compression, L = 4</c:v>
          </c:tx>
          <c:spPr>
            <a:ln w="25400" cap="rnd">
              <a:noFill/>
              <a:round/>
            </a:ln>
            <a:effectLst/>
          </c:spPr>
          <c:marker>
            <c:symbol val="circle"/>
            <c:size val="5"/>
            <c:spPr>
              <a:solidFill>
                <a:schemeClr val="accent5"/>
              </a:solidFill>
              <a:ln w="9525">
                <a:solidFill>
                  <a:schemeClr val="accent5"/>
                </a:solidFill>
              </a:ln>
              <a:effectLst/>
            </c:spPr>
          </c:marker>
          <c:xVal>
            <c:numRef>
              <c:f>plots_case_2!$C$17:$C$23</c:f>
              <c:numCache>
                <c:formatCode>General</c:formatCode>
                <c:ptCount val="7"/>
                <c:pt idx="0">
                  <c:v>92</c:v>
                </c:pt>
                <c:pt idx="1">
                  <c:v>182</c:v>
                </c:pt>
                <c:pt idx="2">
                  <c:v>342</c:v>
                </c:pt>
                <c:pt idx="3">
                  <c:v>498</c:v>
                </c:pt>
                <c:pt idx="4">
                  <c:v>638</c:v>
                </c:pt>
                <c:pt idx="5">
                  <c:v>788</c:v>
                </c:pt>
                <c:pt idx="6">
                  <c:v>918</c:v>
                </c:pt>
              </c:numCache>
            </c:numRef>
          </c:xVal>
          <c:yVal>
            <c:numRef>
              <c:f>plots_case_2!$E$17:$E$23</c:f>
              <c:numCache>
                <c:formatCode>0</c:formatCode>
                <c:ptCount val="7"/>
                <c:pt idx="0">
                  <c:v>15.775670000251129</c:v>
                </c:pt>
                <c:pt idx="1">
                  <c:v>19.203646259141106</c:v>
                </c:pt>
                <c:pt idx="2">
                  <c:v>24.13943699163481</c:v>
                </c:pt>
                <c:pt idx="3">
                  <c:v>31.897004852409651</c:v>
                </c:pt>
                <c:pt idx="4">
                  <c:v>36.43503257146692</c:v>
                </c:pt>
                <c:pt idx="5">
                  <c:v>33.421617849847848</c:v>
                </c:pt>
                <c:pt idx="6">
                  <c:v>39.663234974429031</c:v>
                </c:pt>
              </c:numCache>
            </c:numRef>
          </c:yVal>
          <c:smooth val="0"/>
        </c:ser>
        <c:dLbls>
          <c:showLegendKey val="0"/>
          <c:showVal val="0"/>
          <c:showCatName val="0"/>
          <c:showSerName val="0"/>
          <c:showPercent val="0"/>
          <c:showBubbleSize val="0"/>
        </c:dLbls>
        <c:axId val="492308776"/>
        <c:axId val="492309168"/>
      </c:scatterChart>
      <c:valAx>
        <c:axId val="4923087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09168"/>
        <c:crosses val="autoZero"/>
        <c:crossBetween val="midCat"/>
      </c:valAx>
      <c:valAx>
        <c:axId val="4923091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Throughput 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08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081714785651792"/>
          <c:y val="5.0925925925925923E-2"/>
          <c:w val="0.59169597550306208"/>
          <c:h val="0.68699876057159526"/>
        </c:manualLayout>
      </c:layout>
      <c:scatterChart>
        <c:scatterStyle val="smoothMarker"/>
        <c:varyColors val="0"/>
        <c:ser>
          <c:idx val="0"/>
          <c:order val="0"/>
          <c:tx>
            <c:v>Type II, Rank 4</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Sheet5!$D$10:$D$34</c:f>
              <c:numCache>
                <c:formatCode>General</c:formatCode>
                <c:ptCount val="25"/>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pt idx="20">
                  <c:v>24</c:v>
                </c:pt>
                <c:pt idx="21">
                  <c:v>25</c:v>
                </c:pt>
                <c:pt idx="22">
                  <c:v>26</c:v>
                </c:pt>
                <c:pt idx="23">
                  <c:v>27</c:v>
                </c:pt>
                <c:pt idx="24">
                  <c:v>28</c:v>
                </c:pt>
              </c:numCache>
            </c:numRef>
          </c:xVal>
          <c:yVal>
            <c:numRef>
              <c:f>Sheet5!$E$10:$E$34</c:f>
              <c:numCache>
                <c:formatCode>General</c:formatCode>
                <c:ptCount val="25"/>
                <c:pt idx="0">
                  <c:v>263</c:v>
                </c:pt>
                <c:pt idx="1">
                  <c:v>302</c:v>
                </c:pt>
                <c:pt idx="2">
                  <c:v>341</c:v>
                </c:pt>
                <c:pt idx="3">
                  <c:v>380</c:v>
                </c:pt>
                <c:pt idx="4">
                  <c:v>419</c:v>
                </c:pt>
                <c:pt idx="5">
                  <c:v>458</c:v>
                </c:pt>
                <c:pt idx="6">
                  <c:v>497</c:v>
                </c:pt>
                <c:pt idx="7">
                  <c:v>536</c:v>
                </c:pt>
                <c:pt idx="8">
                  <c:v>575</c:v>
                </c:pt>
                <c:pt idx="9">
                  <c:v>614</c:v>
                </c:pt>
                <c:pt idx="10">
                  <c:v>653</c:v>
                </c:pt>
                <c:pt idx="11">
                  <c:v>692</c:v>
                </c:pt>
                <c:pt idx="12">
                  <c:v>731</c:v>
                </c:pt>
                <c:pt idx="13">
                  <c:v>770</c:v>
                </c:pt>
                <c:pt idx="14">
                  <c:v>809</c:v>
                </c:pt>
                <c:pt idx="15">
                  <c:v>848</c:v>
                </c:pt>
                <c:pt idx="16">
                  <c:v>887</c:v>
                </c:pt>
                <c:pt idx="17">
                  <c:v>926</c:v>
                </c:pt>
                <c:pt idx="18">
                  <c:v>965</c:v>
                </c:pt>
                <c:pt idx="19">
                  <c:v>1004</c:v>
                </c:pt>
                <c:pt idx="20">
                  <c:v>1043</c:v>
                </c:pt>
                <c:pt idx="21">
                  <c:v>1082</c:v>
                </c:pt>
                <c:pt idx="22">
                  <c:v>1121</c:v>
                </c:pt>
                <c:pt idx="23">
                  <c:v>1160</c:v>
                </c:pt>
                <c:pt idx="24">
                  <c:v>1199</c:v>
                </c:pt>
              </c:numCache>
            </c:numRef>
          </c:yVal>
          <c:smooth val="1"/>
        </c:ser>
        <c:ser>
          <c:idx val="1"/>
          <c:order val="1"/>
          <c:tx>
            <c:v>Type II, Rank 2</c:v>
          </c:tx>
          <c:spPr>
            <a:ln w="19050" cap="rnd">
              <a:solidFill>
                <a:schemeClr val="accent2"/>
              </a:solidFill>
              <a:round/>
            </a:ln>
            <a:effectLst/>
          </c:spPr>
          <c:marker>
            <c:symbol val="none"/>
          </c:marker>
          <c:xVal>
            <c:numRef>
              <c:f>Sheet5!$D$10:$D$34</c:f>
              <c:numCache>
                <c:formatCode>General</c:formatCode>
                <c:ptCount val="25"/>
                <c:pt idx="0">
                  <c:v>4</c:v>
                </c:pt>
                <c:pt idx="1">
                  <c:v>5</c:v>
                </c:pt>
                <c:pt idx="2">
                  <c:v>6</c:v>
                </c:pt>
                <c:pt idx="3">
                  <c:v>7</c:v>
                </c:pt>
                <c:pt idx="4">
                  <c:v>8</c:v>
                </c:pt>
                <c:pt idx="5">
                  <c:v>9</c:v>
                </c:pt>
                <c:pt idx="6">
                  <c:v>10</c:v>
                </c:pt>
                <c:pt idx="7">
                  <c:v>11</c:v>
                </c:pt>
                <c:pt idx="8">
                  <c:v>12</c:v>
                </c:pt>
                <c:pt idx="9">
                  <c:v>13</c:v>
                </c:pt>
                <c:pt idx="10">
                  <c:v>14</c:v>
                </c:pt>
                <c:pt idx="11">
                  <c:v>15</c:v>
                </c:pt>
                <c:pt idx="12">
                  <c:v>16</c:v>
                </c:pt>
                <c:pt idx="13">
                  <c:v>17</c:v>
                </c:pt>
                <c:pt idx="14">
                  <c:v>18</c:v>
                </c:pt>
                <c:pt idx="15">
                  <c:v>19</c:v>
                </c:pt>
                <c:pt idx="16">
                  <c:v>20</c:v>
                </c:pt>
                <c:pt idx="17">
                  <c:v>21</c:v>
                </c:pt>
                <c:pt idx="18">
                  <c:v>22</c:v>
                </c:pt>
                <c:pt idx="19">
                  <c:v>23</c:v>
                </c:pt>
                <c:pt idx="20">
                  <c:v>24</c:v>
                </c:pt>
                <c:pt idx="21">
                  <c:v>25</c:v>
                </c:pt>
                <c:pt idx="22">
                  <c:v>26</c:v>
                </c:pt>
                <c:pt idx="23">
                  <c:v>27</c:v>
                </c:pt>
                <c:pt idx="24">
                  <c:v>28</c:v>
                </c:pt>
              </c:numCache>
            </c:numRef>
          </c:xVal>
          <c:yVal>
            <c:numRef>
              <c:f>Sheet5!$C$10:$C$34</c:f>
              <c:numCache>
                <c:formatCode>General</c:formatCode>
                <c:ptCount val="25"/>
                <c:pt idx="0">
                  <c:v>735</c:v>
                </c:pt>
                <c:pt idx="1">
                  <c:v>735</c:v>
                </c:pt>
                <c:pt idx="2">
                  <c:v>735</c:v>
                </c:pt>
                <c:pt idx="3">
                  <c:v>735</c:v>
                </c:pt>
                <c:pt idx="4">
                  <c:v>735</c:v>
                </c:pt>
                <c:pt idx="5">
                  <c:v>735</c:v>
                </c:pt>
                <c:pt idx="6">
                  <c:v>735</c:v>
                </c:pt>
                <c:pt idx="7">
                  <c:v>735</c:v>
                </c:pt>
                <c:pt idx="8">
                  <c:v>735</c:v>
                </c:pt>
                <c:pt idx="9">
                  <c:v>735</c:v>
                </c:pt>
                <c:pt idx="10">
                  <c:v>735</c:v>
                </c:pt>
                <c:pt idx="11">
                  <c:v>735</c:v>
                </c:pt>
                <c:pt idx="12">
                  <c:v>735</c:v>
                </c:pt>
                <c:pt idx="13">
                  <c:v>735</c:v>
                </c:pt>
                <c:pt idx="14">
                  <c:v>735</c:v>
                </c:pt>
                <c:pt idx="15">
                  <c:v>735</c:v>
                </c:pt>
                <c:pt idx="16">
                  <c:v>735</c:v>
                </c:pt>
                <c:pt idx="17">
                  <c:v>735</c:v>
                </c:pt>
                <c:pt idx="18">
                  <c:v>735</c:v>
                </c:pt>
                <c:pt idx="19">
                  <c:v>735</c:v>
                </c:pt>
                <c:pt idx="20">
                  <c:v>735</c:v>
                </c:pt>
                <c:pt idx="21">
                  <c:v>735</c:v>
                </c:pt>
                <c:pt idx="22">
                  <c:v>735</c:v>
                </c:pt>
                <c:pt idx="23">
                  <c:v>735</c:v>
                </c:pt>
                <c:pt idx="24">
                  <c:v>735</c:v>
                </c:pt>
              </c:numCache>
            </c:numRef>
          </c:yVal>
          <c:smooth val="1"/>
        </c:ser>
        <c:dLbls>
          <c:showLegendKey val="0"/>
          <c:showVal val="0"/>
          <c:showCatName val="0"/>
          <c:showSerName val="0"/>
          <c:showPercent val="0"/>
          <c:showBubbleSize val="0"/>
        </c:dLbls>
        <c:axId val="492320928"/>
        <c:axId val="492320144"/>
      </c:scatterChart>
      <c:valAx>
        <c:axId val="492320928"/>
        <c:scaling>
          <c:orientation val="minMax"/>
          <c:max val="28"/>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a:t>
                </a:r>
                <a:r>
                  <a:rPr lang="en-US" baseline="0"/>
                  <a:t> of non-zero beam combining coefficients for rank 4 codebook</a:t>
                </a:r>
                <a:endParaRPr lang="en-US"/>
              </a:p>
            </c:rich>
          </c:tx>
          <c:layout>
            <c:manualLayout>
              <c:xMode val="edge"/>
              <c:yMode val="edge"/>
              <c:x val="3.9706036745406834E-2"/>
              <c:y val="0.8221759259259259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20144"/>
        <c:crosses val="autoZero"/>
        <c:crossBetween val="midCat"/>
      </c:valAx>
      <c:valAx>
        <c:axId val="492320144"/>
        <c:scaling>
          <c:orientation val="minMax"/>
          <c:max val="1200"/>
          <c:min val="2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Number</a:t>
                </a:r>
                <a:r>
                  <a:rPr lang="en-US" baseline="0"/>
                  <a:t> of bits for PMI reporting</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92320928"/>
        <c:crossesAt val="4"/>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696D1-2358-4722-B469-7756A658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2576</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17227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23</cp:revision>
  <cp:lastPrinted>2011-11-09T07:49:00Z</cp:lastPrinted>
  <dcterms:created xsi:type="dcterms:W3CDTF">2018-11-02T18:38:00Z</dcterms:created>
  <dcterms:modified xsi:type="dcterms:W3CDTF">2018-11-08T12:30:00Z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